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tiff" ContentType="image/tif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4.xml" ContentType="application/vnd.openxmlformats-officedocument.drawingml.chart+xml"/>
  <Override PartName="/word/charts/chart5.xml" ContentType="application/vnd.openxmlformats-officedocument.drawingml.chart+xml"/>
  <Override PartName="/word/drawings/drawing2.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48ED79" w14:textId="7F387889" w:rsidR="00115726" w:rsidRPr="005A3244" w:rsidRDefault="006E178E" w:rsidP="00693CAA">
      <w:pPr>
        <w:tabs>
          <w:tab w:val="center" w:pos="4680"/>
          <w:tab w:val="left" w:pos="9356"/>
        </w:tabs>
        <w:ind w:firstLine="0"/>
        <w:jc w:val="center"/>
        <w:rPr>
          <w:rFonts w:eastAsia="Times New Roman" w:cs="Times New Roman"/>
          <w:b/>
          <w:bCs/>
          <w:iCs/>
          <w:caps/>
          <w:color w:val="0070C0"/>
          <w:sz w:val="24"/>
          <w:szCs w:val="24"/>
          <w:shd w:val="clear" w:color="auto" w:fill="FFFFFF"/>
          <w:lang w:eastAsia="ru-RU"/>
        </w:rPr>
      </w:pPr>
      <w:r w:rsidRPr="005A3244">
        <w:rPr>
          <w:rFonts w:eastAsia="Times New Roman" w:cs="Times New Roman"/>
          <w:b/>
          <w:bCs/>
          <w:iCs/>
          <w:caps/>
          <w:color w:val="0070C0"/>
          <w:sz w:val="24"/>
          <w:szCs w:val="24"/>
          <w:shd w:val="clear" w:color="auto" w:fill="FFFFFF"/>
          <w:lang w:eastAsia="ru-RU"/>
        </w:rPr>
        <w:t>Engineering Multiscale Porosity and Adsorption Thermodynamics in PAN–Silica Hybrid Nanocomposites: Linking Sol–Gel Synthesis with Surface Energy Heterogeneity</w:t>
      </w:r>
    </w:p>
    <w:p w14:paraId="347512B6" w14:textId="77777777" w:rsidR="002D0F7B" w:rsidRPr="005A3244" w:rsidRDefault="002D0F7B" w:rsidP="00693CAA">
      <w:pPr>
        <w:tabs>
          <w:tab w:val="center" w:pos="4680"/>
          <w:tab w:val="left" w:pos="9356"/>
        </w:tabs>
        <w:ind w:firstLine="0"/>
        <w:jc w:val="center"/>
        <w:rPr>
          <w:rFonts w:eastAsia="Times New Roman" w:cs="Times New Roman"/>
          <w:b/>
          <w:bCs/>
          <w:iCs/>
          <w:caps/>
          <w:color w:val="0070C0"/>
          <w:sz w:val="24"/>
          <w:szCs w:val="24"/>
          <w:shd w:val="clear" w:color="auto" w:fill="FFFFFF"/>
          <w:lang w:eastAsia="ru-RU"/>
        </w:rPr>
      </w:pPr>
    </w:p>
    <w:p w14:paraId="2EDE7069" w14:textId="464301EF" w:rsidR="006F4BA7" w:rsidRPr="005A3244" w:rsidRDefault="00693CAA" w:rsidP="00693CAA">
      <w:pPr>
        <w:tabs>
          <w:tab w:val="center" w:pos="4680"/>
        </w:tabs>
        <w:ind w:firstLine="0"/>
        <w:jc w:val="center"/>
        <w:rPr>
          <w:rFonts w:cs="Times New Roman"/>
          <w:b/>
          <w:bCs/>
          <w:i/>
          <w:iCs/>
          <w:color w:val="0070C0"/>
          <w:sz w:val="24"/>
          <w:szCs w:val="24"/>
        </w:rPr>
      </w:pPr>
      <w:r w:rsidRPr="005A3244">
        <w:rPr>
          <w:rFonts w:cs="Times New Roman"/>
          <w:b/>
          <w:bCs/>
          <w:i/>
          <w:iCs/>
          <w:color w:val="0070C0"/>
          <w:sz w:val="24"/>
          <w:szCs w:val="24"/>
        </w:rPr>
        <w:t>Khamdam Akbarov</w:t>
      </w:r>
      <w:r w:rsidR="0055743F" w:rsidRPr="005A3244">
        <w:rPr>
          <w:rFonts w:cs="Times New Roman"/>
          <w:b/>
          <w:bCs/>
          <w:i/>
          <w:iCs/>
          <w:color w:val="0070C0"/>
          <w:sz w:val="24"/>
          <w:szCs w:val="24"/>
        </w:rPr>
        <w:t>*</w:t>
      </w:r>
      <w:r w:rsidR="00C94198" w:rsidRPr="005A3244">
        <w:rPr>
          <w:rFonts w:cs="Times New Roman"/>
          <w:b/>
          <w:bCs/>
          <w:i/>
          <w:iCs/>
          <w:color w:val="0070C0"/>
          <w:sz w:val="24"/>
          <w:szCs w:val="24"/>
          <w:vertAlign w:val="superscript"/>
        </w:rPr>
        <w:t>1</w:t>
      </w:r>
      <w:r w:rsidRPr="005A3244">
        <w:rPr>
          <w:rFonts w:cs="Times New Roman"/>
          <w:b/>
          <w:bCs/>
          <w:i/>
          <w:iCs/>
          <w:color w:val="0070C0"/>
          <w:sz w:val="24"/>
          <w:szCs w:val="24"/>
          <w:lang w:val="en-US"/>
        </w:rPr>
        <w:t xml:space="preserve">, </w:t>
      </w:r>
      <w:r w:rsidR="00DB450E" w:rsidRPr="005A3244">
        <w:rPr>
          <w:rFonts w:cs="Times New Roman"/>
          <w:b/>
          <w:bCs/>
          <w:i/>
          <w:iCs/>
          <w:color w:val="0070C0"/>
          <w:sz w:val="24"/>
          <w:szCs w:val="24"/>
          <w:lang w:val="en-US"/>
        </w:rPr>
        <w:t>Nuritdin Kattaev</w:t>
      </w:r>
      <w:r w:rsidR="00C94198" w:rsidRPr="005A3244">
        <w:rPr>
          <w:rFonts w:cs="Times New Roman"/>
          <w:b/>
          <w:bCs/>
          <w:i/>
          <w:iCs/>
          <w:color w:val="0070C0"/>
          <w:sz w:val="24"/>
          <w:szCs w:val="24"/>
          <w:vertAlign w:val="superscript"/>
          <w:lang w:val="en-US"/>
        </w:rPr>
        <w:t>1</w:t>
      </w:r>
      <w:r w:rsidR="00DB450E" w:rsidRPr="005A3244">
        <w:rPr>
          <w:rFonts w:cs="Times New Roman"/>
          <w:b/>
          <w:bCs/>
          <w:i/>
          <w:iCs/>
          <w:color w:val="0070C0"/>
          <w:sz w:val="24"/>
          <w:szCs w:val="24"/>
          <w:lang w:val="en-US"/>
        </w:rPr>
        <w:t xml:space="preserve">, </w:t>
      </w:r>
      <w:r w:rsidRPr="005A3244">
        <w:rPr>
          <w:rFonts w:cs="Times New Roman"/>
          <w:b/>
          <w:bCs/>
          <w:i/>
          <w:iCs/>
          <w:color w:val="0070C0"/>
          <w:sz w:val="24"/>
          <w:szCs w:val="24"/>
        </w:rPr>
        <w:t>Jay</w:t>
      </w:r>
      <w:r w:rsidR="00DC0BA3" w:rsidRPr="005A3244">
        <w:rPr>
          <w:rFonts w:cs="Times New Roman"/>
          <w:b/>
          <w:bCs/>
          <w:i/>
          <w:iCs/>
          <w:color w:val="0070C0"/>
          <w:sz w:val="24"/>
          <w:szCs w:val="24"/>
        </w:rPr>
        <w:t>k</w:t>
      </w:r>
      <w:r w:rsidRPr="005A3244">
        <w:rPr>
          <w:rFonts w:cs="Times New Roman"/>
          <w:b/>
          <w:bCs/>
          <w:i/>
          <w:iCs/>
          <w:color w:val="0070C0"/>
          <w:sz w:val="24"/>
          <w:szCs w:val="24"/>
        </w:rPr>
        <w:t>hun Mamatov</w:t>
      </w:r>
      <w:r w:rsidR="00C94198" w:rsidRPr="005A3244">
        <w:rPr>
          <w:rFonts w:cs="Times New Roman"/>
          <w:b/>
          <w:bCs/>
          <w:i/>
          <w:iCs/>
          <w:color w:val="0070C0"/>
          <w:sz w:val="24"/>
          <w:szCs w:val="24"/>
          <w:vertAlign w:val="superscript"/>
        </w:rPr>
        <w:t>1</w:t>
      </w:r>
      <w:r w:rsidR="00FE5C40" w:rsidRPr="005A3244">
        <w:rPr>
          <w:rFonts w:cs="Times New Roman"/>
          <w:b/>
          <w:bCs/>
          <w:i/>
          <w:iCs/>
          <w:color w:val="0070C0"/>
          <w:sz w:val="24"/>
          <w:szCs w:val="24"/>
        </w:rPr>
        <w:t>,</w:t>
      </w:r>
      <w:r w:rsidR="00FE5C40" w:rsidRPr="005A3244">
        <w:rPr>
          <w:rFonts w:cs="Times New Roman"/>
          <w:b/>
          <w:bCs/>
          <w:i/>
          <w:iCs/>
          <w:color w:val="0070C0"/>
          <w:sz w:val="24"/>
          <w:szCs w:val="24"/>
        </w:rPr>
        <w:br/>
      </w:r>
      <w:r w:rsidRPr="005A3244">
        <w:rPr>
          <w:rFonts w:cs="Times New Roman"/>
          <w:b/>
          <w:bCs/>
          <w:i/>
          <w:iCs/>
          <w:color w:val="0070C0"/>
          <w:sz w:val="24"/>
          <w:szCs w:val="24"/>
        </w:rPr>
        <w:t>Khayrulla Mirzakhidov</w:t>
      </w:r>
      <w:r w:rsidR="00C94198" w:rsidRPr="005A3244">
        <w:rPr>
          <w:rFonts w:cs="Times New Roman"/>
          <w:b/>
          <w:bCs/>
          <w:i/>
          <w:iCs/>
          <w:color w:val="0070C0"/>
          <w:sz w:val="24"/>
          <w:szCs w:val="24"/>
          <w:vertAlign w:val="superscript"/>
        </w:rPr>
        <w:t>1</w:t>
      </w:r>
      <w:r w:rsidR="00C94198" w:rsidRPr="005A3244">
        <w:rPr>
          <w:rFonts w:cs="Times New Roman"/>
          <w:b/>
          <w:bCs/>
          <w:i/>
          <w:iCs/>
          <w:color w:val="0070C0"/>
          <w:sz w:val="24"/>
          <w:szCs w:val="24"/>
        </w:rPr>
        <w:t xml:space="preserve">, </w:t>
      </w:r>
      <w:r w:rsidR="002C7FB3">
        <w:rPr>
          <w:rFonts w:cs="Times New Roman"/>
          <w:b/>
          <w:bCs/>
          <w:i/>
          <w:iCs/>
          <w:color w:val="0070C0"/>
          <w:sz w:val="24"/>
          <w:szCs w:val="24"/>
        </w:rPr>
        <w:t xml:space="preserve">Vladimir </w:t>
      </w:r>
      <w:bookmarkStart w:id="0" w:name="_GoBack"/>
      <w:bookmarkEnd w:id="0"/>
      <w:r w:rsidR="002C7FB3">
        <w:rPr>
          <w:rFonts w:cs="Times New Roman"/>
          <w:b/>
          <w:bCs/>
          <w:i/>
          <w:iCs/>
          <w:color w:val="0070C0"/>
          <w:sz w:val="24"/>
          <w:szCs w:val="24"/>
        </w:rPr>
        <w:t>Kolyadin</w:t>
      </w:r>
      <w:r w:rsidR="002C7FB3" w:rsidRPr="002C7FB3">
        <w:rPr>
          <w:rFonts w:cs="Times New Roman"/>
          <w:b/>
          <w:bCs/>
          <w:i/>
          <w:iCs/>
          <w:color w:val="0070C0"/>
          <w:sz w:val="24"/>
          <w:szCs w:val="24"/>
          <w:vertAlign w:val="superscript"/>
        </w:rPr>
        <w:t>1</w:t>
      </w:r>
      <w:r w:rsidR="002C7FB3">
        <w:rPr>
          <w:rFonts w:cs="Times New Roman"/>
          <w:b/>
          <w:bCs/>
          <w:i/>
          <w:iCs/>
          <w:color w:val="0070C0"/>
          <w:sz w:val="24"/>
          <w:szCs w:val="24"/>
        </w:rPr>
        <w:t xml:space="preserve">, </w:t>
      </w:r>
      <w:r w:rsidR="006C1866" w:rsidRPr="005A3244">
        <w:rPr>
          <w:rFonts w:cs="Times New Roman"/>
          <w:b/>
          <w:bCs/>
          <w:i/>
          <w:iCs/>
          <w:color w:val="0070C0"/>
          <w:sz w:val="24"/>
          <w:szCs w:val="24"/>
        </w:rPr>
        <w:t>Yong-Ill Lee</w:t>
      </w:r>
      <w:r w:rsidR="006C1866" w:rsidRPr="005A3244">
        <w:rPr>
          <w:rFonts w:cs="Times New Roman"/>
          <w:b/>
          <w:bCs/>
          <w:i/>
          <w:iCs/>
          <w:color w:val="0070C0"/>
          <w:sz w:val="24"/>
          <w:szCs w:val="24"/>
          <w:vertAlign w:val="superscript"/>
        </w:rPr>
        <w:t>2</w:t>
      </w:r>
    </w:p>
    <w:p w14:paraId="46FFEAAF" w14:textId="77777777" w:rsidR="00693CAA" w:rsidRPr="005A3244" w:rsidRDefault="00693CAA" w:rsidP="00693CAA">
      <w:pPr>
        <w:tabs>
          <w:tab w:val="center" w:pos="4680"/>
        </w:tabs>
        <w:ind w:firstLine="0"/>
        <w:jc w:val="center"/>
        <w:rPr>
          <w:rFonts w:cs="Times New Roman"/>
          <w:b/>
          <w:bCs/>
          <w:i/>
          <w:iCs/>
          <w:color w:val="0070C0"/>
          <w:sz w:val="24"/>
          <w:szCs w:val="24"/>
          <w:lang w:val="en-US"/>
        </w:rPr>
      </w:pPr>
    </w:p>
    <w:p w14:paraId="7693F7B5" w14:textId="4AC829FD" w:rsidR="006F4BA7" w:rsidRPr="005A3244" w:rsidRDefault="00C94198" w:rsidP="00693CAA">
      <w:pPr>
        <w:tabs>
          <w:tab w:val="center" w:pos="4680"/>
        </w:tabs>
        <w:ind w:firstLine="0"/>
        <w:jc w:val="center"/>
        <w:rPr>
          <w:rFonts w:cs="Times New Roman"/>
          <w:bCs/>
          <w:iCs/>
          <w:color w:val="0070C0"/>
          <w:sz w:val="24"/>
          <w:szCs w:val="24"/>
        </w:rPr>
      </w:pPr>
      <w:r w:rsidRPr="005A3244">
        <w:rPr>
          <w:rFonts w:cs="Times New Roman"/>
          <w:b/>
          <w:bCs/>
          <w:iCs/>
          <w:color w:val="0070C0"/>
          <w:sz w:val="24"/>
          <w:szCs w:val="24"/>
          <w:vertAlign w:val="superscript"/>
        </w:rPr>
        <w:t>1</w:t>
      </w:r>
      <w:r w:rsidR="00FE2355" w:rsidRPr="005A3244">
        <w:rPr>
          <w:rFonts w:cs="Times New Roman"/>
          <w:b/>
          <w:bCs/>
          <w:iCs/>
          <w:color w:val="0070C0"/>
          <w:sz w:val="24"/>
          <w:szCs w:val="24"/>
        </w:rPr>
        <w:t>Faculty of Chemistry</w:t>
      </w:r>
      <w:r w:rsidR="00FE2355" w:rsidRPr="005A3244">
        <w:rPr>
          <w:rFonts w:cs="Times New Roman"/>
          <w:bCs/>
          <w:iCs/>
          <w:color w:val="0070C0"/>
          <w:sz w:val="24"/>
          <w:szCs w:val="24"/>
        </w:rPr>
        <w:t>, National University of Uzbekistan</w:t>
      </w:r>
      <w:r w:rsidR="00565B2C" w:rsidRPr="005A3244">
        <w:rPr>
          <w:rFonts w:cs="Times New Roman"/>
          <w:bCs/>
          <w:iCs/>
          <w:color w:val="0070C0"/>
          <w:sz w:val="24"/>
          <w:szCs w:val="24"/>
        </w:rPr>
        <w:t xml:space="preserve"> named after Mirzo Ulugbek</w:t>
      </w:r>
      <w:r w:rsidR="00693CAA" w:rsidRPr="005A3244">
        <w:rPr>
          <w:rFonts w:cs="Times New Roman"/>
          <w:bCs/>
          <w:iCs/>
          <w:color w:val="0070C0"/>
          <w:sz w:val="24"/>
          <w:szCs w:val="24"/>
        </w:rPr>
        <w:t>, Tashkent 100174</w:t>
      </w:r>
      <w:r w:rsidR="00FE2355" w:rsidRPr="005A3244">
        <w:rPr>
          <w:rFonts w:cs="Times New Roman"/>
          <w:bCs/>
          <w:iCs/>
          <w:color w:val="0070C0"/>
          <w:sz w:val="24"/>
          <w:szCs w:val="24"/>
        </w:rPr>
        <w:t>4, Uzbekistan</w:t>
      </w:r>
      <w:r w:rsidR="002D0F7B" w:rsidRPr="005A3244">
        <w:rPr>
          <w:rFonts w:cs="Times New Roman"/>
          <w:bCs/>
          <w:iCs/>
          <w:color w:val="0070C0"/>
          <w:sz w:val="24"/>
          <w:szCs w:val="24"/>
        </w:rPr>
        <w:t xml:space="preserve">, </w:t>
      </w:r>
      <w:r w:rsidR="006C1866" w:rsidRPr="005A3244">
        <w:rPr>
          <w:rFonts w:cs="Times New Roman"/>
          <w:b/>
          <w:bCs/>
          <w:iCs/>
          <w:color w:val="0070C0"/>
          <w:sz w:val="24"/>
          <w:szCs w:val="24"/>
          <w:vertAlign w:val="superscript"/>
        </w:rPr>
        <w:t>2</w:t>
      </w:r>
      <w:r w:rsidR="006C1866" w:rsidRPr="005A3244">
        <w:rPr>
          <w:rFonts w:cs="Times New Roman"/>
          <w:b/>
          <w:bCs/>
          <w:iCs/>
          <w:color w:val="0070C0"/>
          <w:sz w:val="24"/>
          <w:szCs w:val="24"/>
        </w:rPr>
        <w:t>Anastro Laboratory</w:t>
      </w:r>
      <w:r w:rsidR="006C1866" w:rsidRPr="005A3244">
        <w:rPr>
          <w:rFonts w:cs="Times New Roman"/>
          <w:bCs/>
          <w:iCs/>
          <w:color w:val="0070C0"/>
          <w:sz w:val="24"/>
          <w:szCs w:val="24"/>
        </w:rPr>
        <w:t xml:space="preserve">, Department of Chemistry, Changwon National University, Changwon 51140, Republic of Korea </w:t>
      </w:r>
      <w:r w:rsidR="002D0F7B" w:rsidRPr="005A3244">
        <w:rPr>
          <w:rFonts w:cs="Times New Roman"/>
          <w:bCs/>
          <w:iCs/>
          <w:color w:val="0070C0"/>
          <w:sz w:val="24"/>
          <w:szCs w:val="24"/>
        </w:rPr>
        <w:t>*</w:t>
      </w:r>
      <w:r w:rsidR="001462D2" w:rsidRPr="005A3244">
        <w:rPr>
          <w:rFonts w:cs="Times New Roman"/>
          <w:bCs/>
          <w:iCs/>
          <w:color w:val="0070C0"/>
          <w:sz w:val="24"/>
          <w:szCs w:val="24"/>
        </w:rPr>
        <w:t>https://orcid.org/0000-0002-3225-2427</w:t>
      </w:r>
    </w:p>
    <w:p w14:paraId="080A2987" w14:textId="77777777" w:rsidR="004C003A" w:rsidRPr="005A3244" w:rsidRDefault="004C003A" w:rsidP="00693CAA">
      <w:pPr>
        <w:pStyle w:val="a7"/>
        <w:rPr>
          <w:bCs/>
          <w:color w:val="0070C0"/>
          <w:sz w:val="24"/>
          <w:szCs w:val="24"/>
          <w:lang w:val="en-US"/>
        </w:rPr>
      </w:pPr>
    </w:p>
    <w:p w14:paraId="5766B8C4" w14:textId="77777777" w:rsidR="005305D4" w:rsidRPr="005A3244" w:rsidRDefault="005305D4" w:rsidP="00693CAA">
      <w:pPr>
        <w:widowControl w:val="0"/>
        <w:autoSpaceDE w:val="0"/>
        <w:autoSpaceDN w:val="0"/>
        <w:ind w:firstLine="567"/>
        <w:jc w:val="left"/>
        <w:outlineLvl w:val="0"/>
        <w:rPr>
          <w:rFonts w:eastAsia="Times New Roman" w:cs="Times New Roman"/>
          <w:b/>
          <w:bCs/>
          <w:color w:val="0070C0"/>
          <w:spacing w:val="-2"/>
          <w:sz w:val="24"/>
          <w:szCs w:val="24"/>
          <w:lang w:val="en-US"/>
        </w:rPr>
      </w:pPr>
      <w:r w:rsidRPr="005A3244">
        <w:rPr>
          <w:rFonts w:eastAsia="Times New Roman" w:cs="Times New Roman"/>
          <w:b/>
          <w:bCs/>
          <w:color w:val="0070C0"/>
          <w:spacing w:val="-2"/>
          <w:sz w:val="24"/>
          <w:szCs w:val="24"/>
          <w:lang w:val="en-US"/>
        </w:rPr>
        <w:t>ABSTRACT</w:t>
      </w:r>
    </w:p>
    <w:p w14:paraId="4E7473D7" w14:textId="77777777" w:rsidR="00F0783B" w:rsidRPr="005A3244" w:rsidRDefault="00F0783B" w:rsidP="00A324C9">
      <w:pPr>
        <w:spacing w:before="2"/>
        <w:ind w:firstLine="567"/>
        <w:rPr>
          <w:rFonts w:cs="Times New Roman"/>
          <w:sz w:val="24"/>
          <w:szCs w:val="24"/>
        </w:rPr>
      </w:pPr>
      <w:r w:rsidRPr="005A3244">
        <w:rPr>
          <w:rFonts w:cs="Times New Roman"/>
          <w:sz w:val="24"/>
          <w:szCs w:val="24"/>
        </w:rPr>
        <w:t>This study establishes the relationship between synthesis conditions, multiscale pore architecture, and adsorption thermodynamics in PAN–SiO₂ hybrid nanocomposites prepared via sol–gel routes. Based on adsorption isotherms of benzene, water, and nitrogen analyzed using BET, V–t, BJH, DFT, and the Theory of Volume Filling of Micropores (TVFM), a hierarchical micro–mesoporous structure was identified, with a specific surface area up to 236 m²/g and a total pore volume approaching 1.0 cm³/g, where micropores contribute up to ~95% of the total pore volume.</w:t>
      </w:r>
    </w:p>
    <w:p w14:paraId="0C29198B" w14:textId="77777777" w:rsidR="00F0783B" w:rsidRPr="005A3244" w:rsidRDefault="00F0783B" w:rsidP="003427F2">
      <w:pPr>
        <w:spacing w:before="2"/>
        <w:ind w:firstLine="0"/>
        <w:rPr>
          <w:rFonts w:cs="Times New Roman"/>
          <w:sz w:val="24"/>
          <w:szCs w:val="24"/>
        </w:rPr>
      </w:pPr>
      <w:r w:rsidRPr="005A3244">
        <w:rPr>
          <w:rFonts w:cs="Times New Roman"/>
          <w:sz w:val="24"/>
          <w:szCs w:val="24"/>
        </w:rPr>
        <w:t>An optimal composition (PAN–SiO₂ ≈ 1:3) was found to provide maximum pore development due to the formation of interpenetrating polymer–inorganic networks. Water adsorption reaches 3.79 mmol/g, significantly exceeding benzene adsorption (~0.99 mmol/g), indicating the dominance of specific interactions such as hydrogen bonding. Thermodynamic analysis reveals pronounced surface energy heterogeneity, with differential heats of adsorption up to 110 kJ/mol (water) and 98.5 kJ/mol (benzene), and strongly negative entropy values (down to −147 J/mol·K), reflecting restricted molecular mobility within the pore structure.</w:t>
      </w:r>
    </w:p>
    <w:p w14:paraId="2864B507" w14:textId="7D1517C1" w:rsidR="00FB0D1C" w:rsidRPr="005A3244" w:rsidRDefault="00F0783B" w:rsidP="003427F2">
      <w:pPr>
        <w:spacing w:before="2"/>
        <w:ind w:firstLine="0"/>
        <w:rPr>
          <w:rFonts w:cs="Times New Roman"/>
          <w:sz w:val="24"/>
          <w:szCs w:val="24"/>
          <w:lang w:val="en-US"/>
        </w:rPr>
      </w:pPr>
      <w:r w:rsidRPr="005A3244">
        <w:rPr>
          <w:rFonts w:cs="Times New Roman"/>
          <w:sz w:val="24"/>
          <w:szCs w:val="24"/>
        </w:rPr>
        <w:t>The adsorption behavior follows a multistage mechanism involving micropore filling, cooperative interactions (for water), and capillary condensation. The results demonstrate that both pore structure and surface energetics can be effectively tuned through synthesis, highlighting the potential of PAN–SiO₂ hybrid nanocomposites for advanced adsorption and separation applications.</w:t>
      </w:r>
    </w:p>
    <w:p w14:paraId="3F160E1A" w14:textId="076C4D68" w:rsidR="00FB0D1C" w:rsidRPr="005A3244" w:rsidRDefault="003427F2" w:rsidP="003427F2">
      <w:pPr>
        <w:ind w:firstLine="0"/>
        <w:rPr>
          <w:rFonts w:cs="Times New Roman"/>
          <w:bCs/>
          <w:caps/>
          <w:sz w:val="24"/>
          <w:szCs w:val="24"/>
          <w:lang w:val="en-US"/>
        </w:rPr>
      </w:pPr>
      <w:r w:rsidRPr="003427F2">
        <w:rPr>
          <w:rFonts w:cs="Times New Roman"/>
          <w:b/>
          <w:bCs/>
          <w:iCs/>
          <w:color w:val="000000" w:themeColor="text1"/>
          <w:sz w:val="24"/>
          <w:szCs w:val="24"/>
          <w:lang w:val="en-US"/>
        </w:rPr>
        <w:t>Keywords</w:t>
      </w:r>
      <w:r w:rsidR="00C557EE" w:rsidRPr="003427F2">
        <w:rPr>
          <w:rFonts w:cs="Times New Roman"/>
          <w:iCs/>
          <w:color w:val="000000" w:themeColor="text1"/>
          <w:sz w:val="24"/>
          <w:szCs w:val="24"/>
          <w:lang w:val="en-US"/>
        </w:rPr>
        <w:t>:</w:t>
      </w:r>
      <w:r w:rsidR="00C557EE" w:rsidRPr="005A3244">
        <w:rPr>
          <w:rFonts w:cs="Times New Roman"/>
          <w:i/>
          <w:color w:val="0070C0"/>
          <w:sz w:val="24"/>
          <w:szCs w:val="24"/>
          <w:lang w:val="en-US"/>
        </w:rPr>
        <w:t xml:space="preserve"> </w:t>
      </w:r>
      <w:r w:rsidR="007C39C7" w:rsidRPr="005A3244">
        <w:rPr>
          <w:rFonts w:cs="Times New Roman"/>
          <w:sz w:val="24"/>
          <w:szCs w:val="24"/>
          <w:lang w:val="en-US"/>
        </w:rPr>
        <w:t xml:space="preserve">PAN–SiO₂, sol–gel, </w:t>
      </w:r>
      <w:r w:rsidR="004450D5" w:rsidRPr="005A3244">
        <w:rPr>
          <w:rFonts w:cs="Times New Roman"/>
          <w:sz w:val="24"/>
          <w:szCs w:val="24"/>
          <w:lang w:val="en-US"/>
        </w:rPr>
        <w:t>hierarchical porosity</w:t>
      </w:r>
      <w:r w:rsidR="007C39C7" w:rsidRPr="005A3244">
        <w:rPr>
          <w:rFonts w:cs="Times New Roman"/>
          <w:sz w:val="24"/>
          <w:szCs w:val="24"/>
          <w:lang w:val="en-US"/>
        </w:rPr>
        <w:t xml:space="preserve">, adsorption, </w:t>
      </w:r>
      <w:r w:rsidR="004450D5" w:rsidRPr="005A3244">
        <w:rPr>
          <w:rFonts w:cs="Times New Roman"/>
          <w:sz w:val="24"/>
          <w:szCs w:val="24"/>
          <w:lang w:val="en-US"/>
        </w:rPr>
        <w:t>TVFM, thermodynamics</w:t>
      </w:r>
    </w:p>
    <w:p w14:paraId="0ADA576F" w14:textId="77777777" w:rsidR="00265523" w:rsidRPr="005A3244" w:rsidRDefault="00265523" w:rsidP="002A6F38">
      <w:pPr>
        <w:ind w:firstLine="567"/>
        <w:rPr>
          <w:b/>
          <w:bCs/>
          <w:sz w:val="24"/>
          <w:szCs w:val="24"/>
        </w:rPr>
      </w:pPr>
    </w:p>
    <w:p w14:paraId="0134BF4F" w14:textId="5641E060" w:rsidR="00FB0D1C" w:rsidRPr="005A3244" w:rsidRDefault="00AD0343" w:rsidP="002A6F38">
      <w:pPr>
        <w:ind w:firstLine="567"/>
        <w:rPr>
          <w:rStyle w:val="10"/>
          <w:rFonts w:ascii="Times New Roman" w:eastAsiaTheme="minorHAnsi" w:hAnsi="Times New Roman" w:cs="Times New Roman"/>
          <w:b/>
          <w:bCs/>
          <w:color w:val="0070C0"/>
          <w:sz w:val="24"/>
          <w:szCs w:val="24"/>
          <w:lang w:val="en-US"/>
        </w:rPr>
      </w:pPr>
      <w:r w:rsidRPr="005A3244">
        <w:rPr>
          <w:b/>
          <w:bCs/>
          <w:color w:val="0070C0"/>
          <w:sz w:val="24"/>
          <w:szCs w:val="24"/>
        </w:rPr>
        <w:t xml:space="preserve">I. </w:t>
      </w:r>
      <w:r w:rsidR="009711CE" w:rsidRPr="005A3244">
        <w:rPr>
          <w:b/>
          <w:bCs/>
          <w:color w:val="0070C0"/>
          <w:sz w:val="24"/>
          <w:szCs w:val="24"/>
        </w:rPr>
        <w:t>INTRODUCTION</w:t>
      </w:r>
    </w:p>
    <w:p w14:paraId="5B6B61B4" w14:textId="21C2F1D8" w:rsidR="00A23F76" w:rsidRPr="005A3244" w:rsidRDefault="00EC0848" w:rsidP="00A23F76">
      <w:pPr>
        <w:ind w:firstLine="567"/>
        <w:rPr>
          <w:rFonts w:cs="Times New Roman"/>
          <w:sz w:val="24"/>
          <w:szCs w:val="24"/>
          <w:lang w:val="en-US"/>
        </w:rPr>
      </w:pPr>
      <w:r w:rsidRPr="005A3244">
        <w:rPr>
          <w:rFonts w:cs="Times New Roman"/>
          <w:sz w:val="24"/>
          <w:szCs w:val="24"/>
          <w:lang w:val="en-US"/>
        </w:rPr>
        <w:t>Organic–inorganic hybrid materials have attracted significant attention due to their ability to combine the advantages of polymeric and inorganic systems, enabling control over structure and functionality at the nano- and mesoscale. Among these materials, silica-based hybrids synthesized via the sol–gel process are particularly promising due to their high chemical stability, tunable pore structure, and developed surface area</w:t>
      </w:r>
      <w:r w:rsidR="00A23F76" w:rsidRPr="005A3244">
        <w:rPr>
          <w:rFonts w:cs="Times New Roman"/>
          <w:sz w:val="24"/>
          <w:szCs w:val="24"/>
          <w:lang w:val="en-US"/>
        </w:rPr>
        <w:t xml:space="preserve"> [1–3].</w:t>
      </w:r>
    </w:p>
    <w:p w14:paraId="4FC2ADFC" w14:textId="57FA964A" w:rsidR="00A23F76" w:rsidRPr="005A3244" w:rsidRDefault="00EC0848" w:rsidP="00A23F76">
      <w:pPr>
        <w:ind w:firstLine="567"/>
        <w:rPr>
          <w:rFonts w:cs="Times New Roman"/>
          <w:sz w:val="24"/>
          <w:szCs w:val="24"/>
          <w:lang w:val="en-US"/>
        </w:rPr>
      </w:pPr>
      <w:r w:rsidRPr="005A3244">
        <w:rPr>
          <w:rFonts w:cs="Times New Roman"/>
          <w:sz w:val="24"/>
          <w:szCs w:val="24"/>
          <w:lang w:val="en-US"/>
        </w:rPr>
        <w:t xml:space="preserve">Polyacrylonitrile (PAN) is an attractive polymer matrix owing to the presence of polar nitrile groups (–C≡N), which can interact with silanol groups (–Si–OH) on silica surfaces. These interactions lead to the formation of interpenetrating polymer–inorganic networks (IPN), which significantly influence pore structure, adsorption behavior, and thermodynamic properties </w:t>
      </w:r>
      <w:r w:rsidR="00A23F76" w:rsidRPr="005A3244">
        <w:rPr>
          <w:rFonts w:cs="Times New Roman"/>
          <w:sz w:val="24"/>
          <w:szCs w:val="24"/>
          <w:lang w:val="en-US"/>
        </w:rPr>
        <w:t>[4–6].</w:t>
      </w:r>
    </w:p>
    <w:p w14:paraId="6AEF9630" w14:textId="4C0584F6" w:rsidR="00A23F76" w:rsidRPr="005A3244" w:rsidRDefault="00F231B7" w:rsidP="00A23F76">
      <w:pPr>
        <w:ind w:firstLine="567"/>
        <w:rPr>
          <w:rFonts w:cs="Times New Roman"/>
          <w:sz w:val="24"/>
          <w:szCs w:val="24"/>
          <w:lang w:val="en-US"/>
        </w:rPr>
      </w:pPr>
      <w:r w:rsidRPr="005A3244">
        <w:rPr>
          <w:rFonts w:cs="Times New Roman"/>
          <w:sz w:val="24"/>
          <w:szCs w:val="24"/>
          <w:lang w:val="en-US"/>
        </w:rPr>
        <w:t>A key challenge is to establish quantitative relationships between synthesis conditions, pore structure, and adsorption mechanisms. The adsorption behavior of hybrid materials is governed not only by geometric characteristics (surface area, pore size distribution) but also by surface energetics and the nature of adsorbates [2,7].</w:t>
      </w:r>
    </w:p>
    <w:p w14:paraId="467C02F7" w14:textId="77777777" w:rsidR="005974DC" w:rsidRPr="005A3244" w:rsidRDefault="005974DC" w:rsidP="00A23F76">
      <w:pPr>
        <w:ind w:firstLine="567"/>
        <w:rPr>
          <w:rFonts w:cs="Times New Roman"/>
          <w:sz w:val="24"/>
          <w:szCs w:val="24"/>
          <w:lang w:val="en-US"/>
        </w:rPr>
      </w:pPr>
      <w:r w:rsidRPr="005A3244">
        <w:rPr>
          <w:rFonts w:cs="Times New Roman"/>
          <w:sz w:val="24"/>
          <w:szCs w:val="24"/>
          <w:lang w:val="en-US"/>
        </w:rPr>
        <w:t>To address this, a comprehensive approach combining adsorption isotherms, thermodynamic analysis, and modeling is required. Classical methods such as BET, BJH, and V–t analysis provide information on pore structure, while modern approaches such as DFT and TVFM enable a deeper understanding of adsorption mechanisms and energy distribution</w:t>
      </w:r>
      <w:r w:rsidR="00A23F76" w:rsidRPr="005A3244">
        <w:rPr>
          <w:rFonts w:cs="Times New Roman"/>
          <w:sz w:val="24"/>
          <w:szCs w:val="24"/>
          <w:lang w:val="en-US"/>
        </w:rPr>
        <w:t xml:space="preserve"> [8–10]. </w:t>
      </w:r>
    </w:p>
    <w:p w14:paraId="5F9BF2F1" w14:textId="5DAB8792" w:rsidR="00FB0D1C" w:rsidRPr="005A3244" w:rsidRDefault="005974DC" w:rsidP="00A23F76">
      <w:pPr>
        <w:ind w:firstLine="567"/>
        <w:rPr>
          <w:rFonts w:cs="Times New Roman"/>
          <w:sz w:val="24"/>
          <w:szCs w:val="24"/>
          <w:lang w:val="en-US"/>
        </w:rPr>
      </w:pPr>
      <w:r w:rsidRPr="005A3244">
        <w:rPr>
          <w:rFonts w:cs="Times New Roman"/>
          <w:sz w:val="24"/>
          <w:szCs w:val="24"/>
          <w:lang w:val="en-US"/>
        </w:rPr>
        <w:lastRenderedPageBreak/>
        <w:t>In this work, the relationship between synthesis, structure, and adsorption thermodynamics in PAN–SiO₂ hybrid nanocomposites is investigated using benzene, water, and nitrogen adsorption. Particular attention is given to the interplay between pore architecture and surface energetics, which determines adsorption performance.</w:t>
      </w:r>
    </w:p>
    <w:p w14:paraId="3C1C6645" w14:textId="0C4A8681" w:rsidR="009711CE" w:rsidRPr="005A3244" w:rsidRDefault="00EB480D" w:rsidP="00F500E2">
      <w:pPr>
        <w:ind w:firstLine="567"/>
        <w:rPr>
          <w:rFonts w:cs="Times New Roman"/>
          <w:b/>
          <w:bCs/>
          <w:color w:val="0070C0"/>
          <w:sz w:val="24"/>
          <w:szCs w:val="24"/>
          <w:lang w:val="en-US"/>
        </w:rPr>
      </w:pPr>
      <w:bookmarkStart w:id="1" w:name="_Toc203486567"/>
      <w:r w:rsidRPr="005A3244">
        <w:rPr>
          <w:rFonts w:cs="Times New Roman"/>
          <w:b/>
          <w:bCs/>
          <w:color w:val="0070C0"/>
          <w:sz w:val="24"/>
          <w:szCs w:val="24"/>
          <w:lang w:val="en-US"/>
        </w:rPr>
        <w:t xml:space="preserve">II. </w:t>
      </w:r>
      <w:r w:rsidR="009711CE" w:rsidRPr="005A3244">
        <w:rPr>
          <w:rFonts w:cs="Times New Roman"/>
          <w:b/>
          <w:bCs/>
          <w:color w:val="0070C0"/>
          <w:sz w:val="24"/>
          <w:szCs w:val="24"/>
          <w:lang w:val="en-US"/>
        </w:rPr>
        <w:t>METHODOLOGY</w:t>
      </w:r>
    </w:p>
    <w:p w14:paraId="2630E925" w14:textId="43DDDB9D" w:rsidR="009711CE" w:rsidRPr="005A3244" w:rsidRDefault="00EB480D" w:rsidP="000D0228">
      <w:pPr>
        <w:ind w:firstLine="567"/>
        <w:rPr>
          <w:rFonts w:cs="Times New Roman"/>
          <w:b/>
          <w:bCs/>
          <w:color w:val="0070C0"/>
          <w:sz w:val="24"/>
          <w:szCs w:val="24"/>
          <w:lang w:val="en-US"/>
        </w:rPr>
      </w:pPr>
      <w:r w:rsidRPr="005A3244">
        <w:rPr>
          <w:rFonts w:cs="Times New Roman"/>
          <w:b/>
          <w:bCs/>
          <w:color w:val="0070C0"/>
          <w:sz w:val="24"/>
          <w:szCs w:val="24"/>
          <w:lang w:val="en-US"/>
        </w:rPr>
        <w:t xml:space="preserve">2.1. </w:t>
      </w:r>
      <w:r w:rsidR="000D0228" w:rsidRPr="005A3244">
        <w:rPr>
          <w:rFonts w:cs="Times New Roman"/>
          <w:b/>
          <w:bCs/>
          <w:color w:val="0070C0"/>
          <w:sz w:val="24"/>
          <w:szCs w:val="24"/>
          <w:lang w:val="en-US"/>
        </w:rPr>
        <w:t>Materials</w:t>
      </w:r>
    </w:p>
    <w:p w14:paraId="67BF9CFB" w14:textId="1337C9D8" w:rsidR="000D0228" w:rsidRPr="005A3244" w:rsidRDefault="00D67863" w:rsidP="00D67863">
      <w:pPr>
        <w:ind w:firstLine="567"/>
        <w:rPr>
          <w:rFonts w:cs="Times New Roman"/>
          <w:bCs/>
          <w:sz w:val="24"/>
          <w:szCs w:val="24"/>
          <w:lang w:val="en-US"/>
        </w:rPr>
      </w:pPr>
      <w:r w:rsidRPr="005A3244">
        <w:rPr>
          <w:rFonts w:cs="Times New Roman"/>
          <w:bCs/>
          <w:sz w:val="24"/>
          <w:szCs w:val="24"/>
          <w:lang w:val="en-US"/>
        </w:rPr>
        <w:t xml:space="preserve">Polyacrylonitrile (PAN) was used as the organic component, including powdered PAN and PAN-based fibers (“Nitron”). Tetraethoxysilane (TEOS) was used as the silica precursor and purified by fractional distillation. N,N-dimethylformamide (DMF) was used as the solvent, and glycerol was introduced as a structure-directing agent. Acidic (HCl) and basic (NH₄OH) catalysts were used to control hydrolysis–condensation kinetics </w:t>
      </w:r>
      <w:r w:rsidR="004A3C9D" w:rsidRPr="005A3244">
        <w:rPr>
          <w:rFonts w:cs="Times New Roman"/>
          <w:bCs/>
          <w:sz w:val="24"/>
          <w:szCs w:val="24"/>
          <w:lang w:val="en-US"/>
        </w:rPr>
        <w:t>[11]</w:t>
      </w:r>
      <w:r w:rsidR="000D0228" w:rsidRPr="005A3244">
        <w:rPr>
          <w:rFonts w:cs="Times New Roman"/>
          <w:sz w:val="24"/>
          <w:szCs w:val="24"/>
          <w:lang w:val="en-US"/>
        </w:rPr>
        <w:t>.</w:t>
      </w:r>
    </w:p>
    <w:p w14:paraId="3CF63E39" w14:textId="7FBD3122" w:rsidR="000D0228" w:rsidRPr="005A3244" w:rsidRDefault="00EB480D" w:rsidP="000D0228">
      <w:pPr>
        <w:ind w:firstLine="567"/>
        <w:rPr>
          <w:rFonts w:cs="Times New Roman"/>
          <w:b/>
          <w:color w:val="0070C0"/>
          <w:sz w:val="24"/>
          <w:szCs w:val="24"/>
          <w:lang w:val="en-US"/>
        </w:rPr>
      </w:pPr>
      <w:r w:rsidRPr="005A3244">
        <w:rPr>
          <w:rFonts w:cs="Times New Roman"/>
          <w:b/>
          <w:color w:val="0070C0"/>
          <w:sz w:val="24"/>
          <w:szCs w:val="24"/>
          <w:lang w:val="en-US"/>
        </w:rPr>
        <w:t xml:space="preserve">2.2. </w:t>
      </w:r>
      <w:r w:rsidR="00D55128" w:rsidRPr="005A3244">
        <w:rPr>
          <w:rFonts w:cs="Times New Roman"/>
          <w:b/>
          <w:color w:val="0070C0"/>
          <w:sz w:val="24"/>
          <w:szCs w:val="24"/>
          <w:lang w:val="en-US"/>
        </w:rPr>
        <w:t>Synthesis</w:t>
      </w:r>
    </w:p>
    <w:p w14:paraId="055AF18D" w14:textId="244A2014" w:rsidR="008C7D3B" w:rsidRPr="005A3244" w:rsidRDefault="008C7D3B" w:rsidP="008C7D3B">
      <w:pPr>
        <w:ind w:firstLine="567"/>
        <w:rPr>
          <w:rFonts w:cs="Times New Roman"/>
          <w:sz w:val="24"/>
          <w:szCs w:val="24"/>
          <w:lang w:val="en-US"/>
        </w:rPr>
      </w:pPr>
      <w:r w:rsidRPr="005A3244">
        <w:rPr>
          <w:rFonts w:cs="Times New Roman"/>
          <w:sz w:val="24"/>
          <w:szCs w:val="24"/>
          <w:lang w:val="en-US"/>
        </w:rPr>
        <w:t>PAN–SiO₂ hybrid nanocomposites were synthesized via a sol–gel approach combined with polymer incorporation strategies. A homogeneous PAN solution (5 wt.%) was prepared in DMF, followed by the addition of TEOS and glycerol. The mixture was homogenized using ultrasonic treatment (25 kHz, 3 min, 293 K), producing a stable sol that underwent hydrolysis and polycondensation under ambient conditions.</w:t>
      </w:r>
    </w:p>
    <w:p w14:paraId="24579507" w14:textId="2E62788D" w:rsidR="008C7D3B" w:rsidRPr="005A3244" w:rsidRDefault="008C7D3B" w:rsidP="008C7D3B">
      <w:pPr>
        <w:ind w:firstLine="567"/>
        <w:rPr>
          <w:rFonts w:cs="Times New Roman"/>
          <w:sz w:val="24"/>
          <w:szCs w:val="24"/>
          <w:lang w:val="en-US"/>
        </w:rPr>
      </w:pPr>
      <w:r w:rsidRPr="005A3244">
        <w:rPr>
          <w:rFonts w:cs="Times New Roman"/>
          <w:sz w:val="24"/>
          <w:szCs w:val="24"/>
          <w:lang w:val="en-US"/>
        </w:rPr>
        <w:t>The sol–gel process involves hydrolysis of alkoxysilane groups followed by condensation into a three-dimensional siloxane network, accompanied by nucleation and growth of silica clusters with characteristic pore sizes in the nanometer range (1–10 nm). The presence of PAN promotes the formation of interpenetrating polymer networks (IPN), which govern the final pore architecture and surface properties.</w:t>
      </w:r>
    </w:p>
    <w:p w14:paraId="7CC3FF0F" w14:textId="58F7AFF7" w:rsidR="00FB0D1C" w:rsidRPr="005A3244" w:rsidRDefault="008C7D3B" w:rsidP="008C7D3B">
      <w:pPr>
        <w:ind w:firstLine="567"/>
        <w:rPr>
          <w:rFonts w:cs="Times New Roman"/>
          <w:sz w:val="24"/>
          <w:szCs w:val="24"/>
          <w:lang w:val="en-US"/>
        </w:rPr>
      </w:pPr>
      <w:r w:rsidRPr="005A3244">
        <w:rPr>
          <w:rFonts w:cs="Times New Roman"/>
          <w:sz w:val="24"/>
          <w:szCs w:val="24"/>
          <w:lang w:val="en-US"/>
        </w:rPr>
        <w:t>Such synthesis strategies are consistent with established approaches for preparing organic–inorganic hybrid materials with hierarchical porosity and controlled nanostructure [12].</w:t>
      </w:r>
    </w:p>
    <w:p w14:paraId="2D6FFC0E" w14:textId="0024C756" w:rsidR="008768CB" w:rsidRPr="005A3244" w:rsidRDefault="00EB480D" w:rsidP="008768CB">
      <w:pPr>
        <w:ind w:firstLine="567"/>
        <w:rPr>
          <w:rFonts w:cs="Times New Roman"/>
          <w:b/>
          <w:color w:val="0070C0"/>
          <w:sz w:val="24"/>
          <w:szCs w:val="24"/>
          <w:lang w:val="en-US"/>
        </w:rPr>
      </w:pPr>
      <w:r w:rsidRPr="005A3244">
        <w:rPr>
          <w:rFonts w:cs="Times New Roman"/>
          <w:b/>
          <w:color w:val="0070C0"/>
          <w:sz w:val="24"/>
          <w:szCs w:val="24"/>
          <w:lang w:val="en-US"/>
        </w:rPr>
        <w:t xml:space="preserve">2.3. </w:t>
      </w:r>
      <w:r w:rsidR="008768CB" w:rsidRPr="005A3244">
        <w:rPr>
          <w:rFonts w:cs="Times New Roman"/>
          <w:b/>
          <w:color w:val="0070C0"/>
          <w:sz w:val="24"/>
          <w:szCs w:val="24"/>
          <w:lang w:val="en-US"/>
        </w:rPr>
        <w:t>Adsorption Measurements</w:t>
      </w:r>
    </w:p>
    <w:p w14:paraId="7BAF998F" w14:textId="77777777" w:rsidR="00122332" w:rsidRPr="005A3244" w:rsidRDefault="00122332" w:rsidP="00122332">
      <w:pPr>
        <w:ind w:firstLine="567"/>
        <w:rPr>
          <w:rFonts w:cs="Times New Roman"/>
          <w:sz w:val="24"/>
          <w:szCs w:val="24"/>
          <w:lang w:val="en-US"/>
        </w:rPr>
      </w:pPr>
      <w:r w:rsidRPr="005A3244">
        <w:rPr>
          <w:rFonts w:cs="Times New Roman"/>
          <w:sz w:val="24"/>
          <w:szCs w:val="24"/>
          <w:lang w:val="en-US"/>
        </w:rPr>
        <w:t>Adsorption properties were investigated using benzene and water vapors as model nonpolar and polar adsorbates, respectively, and nitrogen at 77 K for pore structure characterization. Prior to measurements, samples were degassed under vacuum for 10–12 hours.</w:t>
      </w:r>
    </w:p>
    <w:p w14:paraId="7A49C616" w14:textId="77777777" w:rsidR="00122332" w:rsidRPr="005A3244" w:rsidRDefault="00122332" w:rsidP="00122332">
      <w:pPr>
        <w:ind w:firstLine="567"/>
        <w:rPr>
          <w:rFonts w:cs="Times New Roman"/>
          <w:sz w:val="24"/>
          <w:szCs w:val="24"/>
          <w:lang w:val="en-US"/>
        </w:rPr>
      </w:pPr>
      <w:r w:rsidRPr="005A3244">
        <w:rPr>
          <w:rFonts w:cs="Times New Roman"/>
          <w:sz w:val="24"/>
          <w:szCs w:val="24"/>
          <w:lang w:val="en-US"/>
        </w:rPr>
        <w:t>Nitrogen adsorption–desorption isotherms were recorded at 77.35 K under high vacuum (~6.58 × 10⁻⁵ Torr). Adsorption measurements were carried out using a volumetric high-vacuum system coupled with a differential microcalorimeter, enabling simultaneous determination of adsorption isotherms and differential heats.</w:t>
      </w:r>
    </w:p>
    <w:p w14:paraId="520B947B" w14:textId="0D51A54C" w:rsidR="008768CB" w:rsidRPr="005A3244" w:rsidRDefault="00122332" w:rsidP="00122332">
      <w:pPr>
        <w:ind w:firstLine="567"/>
        <w:rPr>
          <w:rFonts w:cs="Times New Roman"/>
          <w:sz w:val="24"/>
          <w:szCs w:val="24"/>
          <w:lang w:val="en-US"/>
        </w:rPr>
      </w:pPr>
      <w:r w:rsidRPr="005A3244">
        <w:rPr>
          <w:rFonts w:cs="Times New Roman"/>
          <w:sz w:val="24"/>
          <w:szCs w:val="24"/>
          <w:lang w:val="en-US"/>
        </w:rPr>
        <w:t>Such combined adsorption–calorimetric techniques are widely recognized as reliable tools for investigating adsorption thermodynamics and surface heterogeneity [13].</w:t>
      </w:r>
    </w:p>
    <w:p w14:paraId="65E7DFC8" w14:textId="1C9767EF" w:rsidR="008768CB" w:rsidRPr="005A3244" w:rsidRDefault="00EB480D" w:rsidP="008768CB">
      <w:pPr>
        <w:ind w:firstLine="567"/>
        <w:rPr>
          <w:rFonts w:cs="Times New Roman"/>
          <w:b/>
          <w:color w:val="0070C0"/>
          <w:sz w:val="24"/>
          <w:szCs w:val="24"/>
          <w:lang w:val="en-US"/>
        </w:rPr>
      </w:pPr>
      <w:r w:rsidRPr="005A3244">
        <w:rPr>
          <w:rFonts w:cs="Times New Roman"/>
          <w:b/>
          <w:color w:val="0070C0"/>
          <w:sz w:val="24"/>
          <w:szCs w:val="24"/>
          <w:lang w:val="en-US"/>
        </w:rPr>
        <w:t xml:space="preserve">2.4. </w:t>
      </w:r>
      <w:r w:rsidR="00D55128" w:rsidRPr="005A3244">
        <w:rPr>
          <w:rFonts w:cs="Times New Roman"/>
          <w:b/>
          <w:color w:val="0070C0"/>
          <w:sz w:val="24"/>
          <w:szCs w:val="24"/>
          <w:lang w:val="en-US"/>
        </w:rPr>
        <w:t>Structural Analysis</w:t>
      </w:r>
    </w:p>
    <w:p w14:paraId="4D9B38F0" w14:textId="77777777" w:rsidR="005D1AF1" w:rsidRPr="005A3244" w:rsidRDefault="005D1AF1" w:rsidP="005D1AF1">
      <w:pPr>
        <w:ind w:firstLine="567"/>
        <w:rPr>
          <w:rFonts w:cs="Times New Roman"/>
          <w:sz w:val="24"/>
          <w:szCs w:val="24"/>
          <w:lang w:val="en-US"/>
        </w:rPr>
      </w:pPr>
      <w:r w:rsidRPr="005A3244">
        <w:rPr>
          <w:rFonts w:cs="Times New Roman"/>
          <w:sz w:val="24"/>
          <w:szCs w:val="24"/>
          <w:lang w:val="en-US"/>
        </w:rPr>
        <w:t>The porous structure was analyzed using complementary adsorption-based methods. The specific surface area was determined using the multipoint BET method in the relative pressure range of 0.05–0.30. The V–t method was used to separate microporous and external surface contributions, while the BJH method was applied to evaluate mesopore size distribution.</w:t>
      </w:r>
    </w:p>
    <w:p w14:paraId="5622A884" w14:textId="0C9EC558" w:rsidR="008768CB" w:rsidRPr="005A3244" w:rsidRDefault="005D1AF1" w:rsidP="005D1AF1">
      <w:pPr>
        <w:ind w:firstLine="567"/>
        <w:rPr>
          <w:rFonts w:cs="Times New Roman"/>
          <w:sz w:val="24"/>
          <w:szCs w:val="24"/>
          <w:lang w:val="en-US"/>
        </w:rPr>
      </w:pPr>
      <w:r w:rsidRPr="005A3244">
        <w:rPr>
          <w:rFonts w:cs="Times New Roman"/>
          <w:sz w:val="24"/>
          <w:szCs w:val="24"/>
          <w:lang w:val="en-US"/>
        </w:rPr>
        <w:t>Additionally, Density Functional Theory (DFT) was employed to obtain an accurate description of pore size distribution in the micro–mesopore range. The combined use of BET, BJH, and DFT methods is recommended by IUPAC for the characterization of hierarchical porous materials [9,14].</w:t>
      </w:r>
    </w:p>
    <w:p w14:paraId="58AFC549" w14:textId="1811418F" w:rsidR="00C16C23" w:rsidRPr="005A3244" w:rsidRDefault="00EB480D" w:rsidP="00C16C23">
      <w:pPr>
        <w:ind w:firstLine="567"/>
        <w:rPr>
          <w:rFonts w:cs="Times New Roman"/>
          <w:b/>
          <w:color w:val="0070C0"/>
          <w:sz w:val="24"/>
          <w:szCs w:val="24"/>
          <w:lang w:val="en-US"/>
        </w:rPr>
      </w:pPr>
      <w:r w:rsidRPr="005A3244">
        <w:rPr>
          <w:rFonts w:cs="Times New Roman"/>
          <w:b/>
          <w:color w:val="0070C0"/>
          <w:sz w:val="24"/>
          <w:szCs w:val="24"/>
          <w:lang w:val="en-US"/>
        </w:rPr>
        <w:t xml:space="preserve">2.5. </w:t>
      </w:r>
      <w:r w:rsidR="00C16C23" w:rsidRPr="005A3244">
        <w:rPr>
          <w:rFonts w:cs="Times New Roman"/>
          <w:b/>
          <w:color w:val="0070C0"/>
          <w:sz w:val="24"/>
          <w:szCs w:val="24"/>
          <w:lang w:val="en-US"/>
        </w:rPr>
        <w:t>Thermodynamic Analysis</w:t>
      </w:r>
    </w:p>
    <w:p w14:paraId="0F53C5F9" w14:textId="77777777" w:rsidR="005D1AF1" w:rsidRPr="005A3244" w:rsidRDefault="005D1AF1" w:rsidP="005D1AF1">
      <w:pPr>
        <w:ind w:firstLine="567"/>
        <w:rPr>
          <w:rFonts w:cs="Times New Roman"/>
          <w:sz w:val="24"/>
          <w:szCs w:val="24"/>
          <w:lang w:val="en-US"/>
        </w:rPr>
      </w:pPr>
      <w:r w:rsidRPr="005A3244">
        <w:rPr>
          <w:rFonts w:cs="Times New Roman"/>
          <w:sz w:val="24"/>
          <w:szCs w:val="24"/>
          <w:lang w:val="en-US"/>
        </w:rPr>
        <w:t>Thermodynamic parameters were determined from adsorption isotherms and calorimetric measurements. The Gibbs free energy was calculated from equilibrium data, while differential heats of adsorption were obtained directly from calorimetric measurements.</w:t>
      </w:r>
    </w:p>
    <w:p w14:paraId="5CA5685E" w14:textId="47B087B7" w:rsidR="008768CB" w:rsidRPr="005A3244" w:rsidRDefault="005D1AF1" w:rsidP="005D1AF1">
      <w:pPr>
        <w:ind w:firstLine="567"/>
        <w:rPr>
          <w:rFonts w:cs="Times New Roman"/>
          <w:sz w:val="24"/>
          <w:szCs w:val="24"/>
          <w:lang w:val="en-US"/>
        </w:rPr>
      </w:pPr>
      <w:r w:rsidRPr="005A3244">
        <w:rPr>
          <w:rFonts w:cs="Times New Roman"/>
          <w:sz w:val="24"/>
          <w:szCs w:val="24"/>
          <w:lang w:val="en-US"/>
        </w:rPr>
        <w:t>The differential entropy of adsorption was evaluated using the Gibbs–Helmholtz relationship, providing insight into molecular ordering and mobility within the pore structure. Such analysis is essential for understanding adsorption mechanisms and distinguishing between physical and specific adsorption [13,15].</w:t>
      </w:r>
    </w:p>
    <w:p w14:paraId="0A48BD01" w14:textId="79A0639D" w:rsidR="00C16C23" w:rsidRPr="005A3244" w:rsidRDefault="00EB480D" w:rsidP="00C16C23">
      <w:pPr>
        <w:ind w:firstLine="567"/>
        <w:rPr>
          <w:rFonts w:cs="Times New Roman"/>
          <w:b/>
          <w:color w:val="0070C0"/>
          <w:sz w:val="24"/>
          <w:szCs w:val="24"/>
          <w:lang w:val="en-US"/>
        </w:rPr>
      </w:pPr>
      <w:r w:rsidRPr="005A3244">
        <w:rPr>
          <w:rFonts w:cs="Times New Roman"/>
          <w:b/>
          <w:color w:val="0070C0"/>
          <w:sz w:val="24"/>
          <w:szCs w:val="24"/>
          <w:lang w:val="en-US"/>
        </w:rPr>
        <w:t xml:space="preserve">2.6. </w:t>
      </w:r>
      <w:r w:rsidR="00C16C23" w:rsidRPr="005A3244">
        <w:rPr>
          <w:rFonts w:cs="Times New Roman"/>
          <w:b/>
          <w:color w:val="0070C0"/>
          <w:sz w:val="24"/>
          <w:szCs w:val="24"/>
          <w:lang w:val="en-US"/>
        </w:rPr>
        <w:t>Adsorption Modeling</w:t>
      </w:r>
    </w:p>
    <w:p w14:paraId="3B04264E" w14:textId="7C5385F2" w:rsidR="00E77F2B" w:rsidRPr="005A3244" w:rsidRDefault="00E77F2B" w:rsidP="00E77F2B">
      <w:pPr>
        <w:ind w:firstLine="567"/>
        <w:rPr>
          <w:rFonts w:cs="Times New Roman"/>
          <w:sz w:val="24"/>
          <w:szCs w:val="24"/>
          <w:lang w:val="en-US"/>
        </w:rPr>
      </w:pPr>
      <w:r w:rsidRPr="005A3244">
        <w:rPr>
          <w:rFonts w:cs="Times New Roman"/>
          <w:sz w:val="24"/>
          <w:szCs w:val="24"/>
          <w:lang w:val="en-US"/>
        </w:rPr>
        <w:lastRenderedPageBreak/>
        <w:t>The adsorption behavior was described using a three-term equation based on the theory of volume filling of micropores (</w:t>
      </w:r>
      <w:r w:rsidR="00D26198" w:rsidRPr="005A3244">
        <w:rPr>
          <w:rFonts w:cs="Times New Roman"/>
          <w:sz w:val="24"/>
          <w:szCs w:val="24"/>
          <w:lang w:val="en-US"/>
        </w:rPr>
        <w:t>TVFM</w:t>
      </w:r>
      <w:r w:rsidRPr="005A3244">
        <w:rPr>
          <w:rFonts w:cs="Times New Roman"/>
          <w:sz w:val="24"/>
          <w:szCs w:val="24"/>
          <w:lang w:val="en-US"/>
        </w:rPr>
        <w:t>), which accounts for surface heterogeneity and multiple adsorption domains. Model parameters were obtained by fitting experimental isotherms.</w:t>
      </w:r>
    </w:p>
    <w:p w14:paraId="026ECFE1" w14:textId="590899AA" w:rsidR="00C16C23" w:rsidRPr="005A3244" w:rsidRDefault="00E77F2B" w:rsidP="00E77F2B">
      <w:pPr>
        <w:ind w:firstLine="567"/>
        <w:rPr>
          <w:rFonts w:cs="Times New Roman"/>
          <w:sz w:val="24"/>
          <w:szCs w:val="24"/>
          <w:lang w:val="en-US"/>
        </w:rPr>
      </w:pPr>
      <w:r w:rsidRPr="005A3244">
        <w:rPr>
          <w:rFonts w:cs="Times New Roman"/>
          <w:sz w:val="24"/>
          <w:szCs w:val="24"/>
          <w:lang w:val="en-US"/>
        </w:rPr>
        <w:t>Multi-parameter adsorption models are widely used to describe heterogeneous porous systems and energy distributions in hybrid nanocomposites [16].</w:t>
      </w:r>
    </w:p>
    <w:p w14:paraId="494F69F6" w14:textId="6E240061" w:rsidR="00355248" w:rsidRPr="005A3244" w:rsidRDefault="00EB480D" w:rsidP="00355248">
      <w:pPr>
        <w:ind w:firstLine="567"/>
        <w:rPr>
          <w:rFonts w:cs="Times New Roman"/>
          <w:b/>
          <w:color w:val="0070C0"/>
          <w:sz w:val="24"/>
          <w:szCs w:val="24"/>
          <w:lang w:val="en-US"/>
        </w:rPr>
      </w:pPr>
      <w:r w:rsidRPr="005A3244">
        <w:rPr>
          <w:rFonts w:cs="Times New Roman"/>
          <w:b/>
          <w:color w:val="0070C0"/>
          <w:sz w:val="24"/>
          <w:szCs w:val="24"/>
          <w:lang w:val="en-US"/>
        </w:rPr>
        <w:t xml:space="preserve">2.7. </w:t>
      </w:r>
      <w:r w:rsidR="00355248" w:rsidRPr="005A3244">
        <w:rPr>
          <w:rFonts w:cs="Times New Roman"/>
          <w:b/>
          <w:color w:val="0070C0"/>
          <w:sz w:val="24"/>
          <w:szCs w:val="24"/>
          <w:lang w:val="en-US"/>
        </w:rPr>
        <w:t>Kinetic Analysis</w:t>
      </w:r>
    </w:p>
    <w:p w14:paraId="6DEF7D55" w14:textId="41124D52" w:rsidR="00355248" w:rsidRPr="005A3244" w:rsidRDefault="00E77F2B" w:rsidP="00E77F2B">
      <w:pPr>
        <w:ind w:firstLine="567"/>
        <w:rPr>
          <w:rFonts w:cs="Times New Roman"/>
          <w:sz w:val="24"/>
          <w:szCs w:val="24"/>
          <w:lang w:val="en-US"/>
        </w:rPr>
      </w:pPr>
      <w:r w:rsidRPr="005A3244">
        <w:rPr>
          <w:rFonts w:cs="Times New Roman"/>
          <w:sz w:val="24"/>
          <w:szCs w:val="24"/>
          <w:lang w:val="en-US"/>
        </w:rPr>
        <w:t>The kinetics of adsorption were evaluated by monitoring the time required to reach equilibrium as a function of adsorbate uptake. The adsorption process exhibited a multistage character governed by diffusion and surface interactions. At low coverage, adsorption is controlled by high-energy active sites, while at higher coverage, cluster formation and pore filling accelerate the process. Such behaviour is typical for hierarchical porous materials [11].</w:t>
      </w:r>
    </w:p>
    <w:p w14:paraId="301FF8D1" w14:textId="5F93E02F" w:rsidR="00F553E0" w:rsidRPr="005A3244" w:rsidRDefault="00EB480D" w:rsidP="00E1684E">
      <w:pPr>
        <w:widowControl w:val="0"/>
        <w:autoSpaceDE w:val="0"/>
        <w:autoSpaceDN w:val="0"/>
        <w:spacing w:before="81"/>
        <w:ind w:left="567" w:firstLine="0"/>
        <w:jc w:val="left"/>
        <w:outlineLvl w:val="0"/>
        <w:rPr>
          <w:rFonts w:eastAsia="Times New Roman" w:cs="Times New Roman"/>
          <w:b/>
          <w:bCs/>
          <w:color w:val="0070C0"/>
          <w:sz w:val="24"/>
          <w:szCs w:val="24"/>
          <w:lang w:val="en-US"/>
        </w:rPr>
      </w:pPr>
      <w:r w:rsidRPr="005A3244">
        <w:rPr>
          <w:rFonts w:eastAsia="Times New Roman" w:cs="Times New Roman"/>
          <w:b/>
          <w:bCs/>
          <w:color w:val="0070C0"/>
          <w:spacing w:val="-2"/>
          <w:sz w:val="24"/>
          <w:szCs w:val="24"/>
          <w:lang w:val="en-US"/>
        </w:rPr>
        <w:t xml:space="preserve">III. </w:t>
      </w:r>
      <w:r w:rsidR="00F553E0" w:rsidRPr="005A3244">
        <w:rPr>
          <w:rFonts w:eastAsia="Times New Roman" w:cs="Times New Roman"/>
          <w:b/>
          <w:bCs/>
          <w:color w:val="0070C0"/>
          <w:spacing w:val="-2"/>
          <w:sz w:val="24"/>
          <w:szCs w:val="24"/>
          <w:lang w:val="en-US"/>
        </w:rPr>
        <w:t xml:space="preserve">RESULTS </w:t>
      </w:r>
    </w:p>
    <w:p w14:paraId="02EA7A30" w14:textId="663F365B" w:rsidR="00E1684E" w:rsidRPr="005A3244" w:rsidRDefault="00EB480D" w:rsidP="00E1684E">
      <w:pPr>
        <w:ind w:firstLine="567"/>
        <w:rPr>
          <w:rFonts w:cs="Times New Roman"/>
          <w:b/>
          <w:bCs/>
          <w:color w:val="0070C0"/>
          <w:sz w:val="24"/>
          <w:szCs w:val="24"/>
          <w:lang w:val="en-US"/>
        </w:rPr>
      </w:pPr>
      <w:r w:rsidRPr="005A3244">
        <w:rPr>
          <w:rFonts w:cs="Times New Roman"/>
          <w:b/>
          <w:bCs/>
          <w:color w:val="0070C0"/>
          <w:sz w:val="24"/>
          <w:szCs w:val="24"/>
          <w:lang w:val="en-US"/>
        </w:rPr>
        <w:t xml:space="preserve">3.1. </w:t>
      </w:r>
      <w:r w:rsidR="00E1684E" w:rsidRPr="005A3244">
        <w:rPr>
          <w:rFonts w:cs="Times New Roman"/>
          <w:b/>
          <w:bCs/>
          <w:color w:val="0070C0"/>
          <w:sz w:val="24"/>
          <w:szCs w:val="24"/>
          <w:lang w:val="en-US"/>
        </w:rPr>
        <w:t xml:space="preserve">Gelation </w:t>
      </w:r>
      <w:r w:rsidR="00CD13FE" w:rsidRPr="005A3244">
        <w:rPr>
          <w:rFonts w:cs="Times New Roman"/>
          <w:b/>
          <w:bCs/>
          <w:color w:val="0070C0"/>
          <w:sz w:val="24"/>
          <w:szCs w:val="24"/>
          <w:lang w:val="en-US"/>
        </w:rPr>
        <w:t>Behaviour</w:t>
      </w:r>
      <w:r w:rsidR="00E1684E" w:rsidRPr="005A3244">
        <w:rPr>
          <w:rFonts w:cs="Times New Roman"/>
          <w:b/>
          <w:bCs/>
          <w:color w:val="0070C0"/>
          <w:sz w:val="24"/>
          <w:szCs w:val="24"/>
          <w:lang w:val="en-US"/>
        </w:rPr>
        <w:t xml:space="preserve"> and Structural Evolution</w:t>
      </w:r>
    </w:p>
    <w:p w14:paraId="4FD5530C" w14:textId="66681B1C" w:rsidR="00E1684E" w:rsidRPr="005A3244" w:rsidRDefault="00E1684E" w:rsidP="00E1684E">
      <w:pPr>
        <w:ind w:firstLine="567"/>
        <w:rPr>
          <w:rFonts w:cs="Times New Roman"/>
          <w:bCs/>
          <w:sz w:val="24"/>
          <w:szCs w:val="24"/>
          <w:lang w:val="en-US"/>
        </w:rPr>
      </w:pPr>
      <w:r w:rsidRPr="005A3244">
        <w:rPr>
          <w:rFonts w:cs="Times New Roman"/>
          <w:bCs/>
          <w:sz w:val="24"/>
          <w:szCs w:val="24"/>
          <w:lang w:val="en-US"/>
        </w:rPr>
        <w:t xml:space="preserve">The formation of PAN–SiO₂ hybrid nanocomposites is governed by the coupled kinetics of hydrolysis and condensation of TEOS and the spatial constraints imposed by polymer chains. The gelation time </w:t>
      </w:r>
      <w:r w:rsidR="00C64B35" w:rsidRPr="005A3244">
        <w:rPr>
          <w:rFonts w:cs="Times New Roman"/>
          <w:bCs/>
          <w:sz w:val="24"/>
          <w:szCs w:val="24"/>
          <w:lang w:val="en-US"/>
        </w:rPr>
        <w:t>decreased</w:t>
      </w:r>
      <w:r w:rsidRPr="005A3244">
        <w:rPr>
          <w:rFonts w:cs="Times New Roman"/>
          <w:bCs/>
          <w:sz w:val="24"/>
          <w:szCs w:val="24"/>
          <w:lang w:val="en-US"/>
        </w:rPr>
        <w:t xml:space="preserve"> significantly with increasing TEOS content, indicating an increase in the rate of siloxane network formation. Conversely, increasing the PAN fraction resulted in a measurable delay in gelation, confirming that polymer chains hinder cluster–cluster interactions through steric shielding.</w:t>
      </w:r>
    </w:p>
    <w:p w14:paraId="34E9F98C" w14:textId="4B3E5B84" w:rsidR="00E1684E" w:rsidRPr="005A3244" w:rsidRDefault="00E1684E" w:rsidP="00E1684E">
      <w:pPr>
        <w:ind w:firstLine="567"/>
        <w:rPr>
          <w:rFonts w:cs="Times New Roman"/>
          <w:bCs/>
          <w:sz w:val="24"/>
          <w:szCs w:val="24"/>
          <w:lang w:val="en-US"/>
        </w:rPr>
      </w:pPr>
      <w:r w:rsidRPr="005A3244">
        <w:rPr>
          <w:rFonts w:cs="Times New Roman"/>
          <w:bCs/>
          <w:sz w:val="24"/>
          <w:szCs w:val="24"/>
          <w:lang w:val="en-US"/>
        </w:rPr>
        <w:t>The transition from sol to gel occurred within a relatively narrow time window</w:t>
      </w:r>
      <w:r w:rsidR="00364FE5" w:rsidRPr="005A3244">
        <w:rPr>
          <w:rFonts w:cs="Times New Roman"/>
          <w:bCs/>
          <w:sz w:val="24"/>
          <w:szCs w:val="24"/>
          <w:lang w:val="en-US"/>
        </w:rPr>
        <w:t>,</w:t>
      </w:r>
      <w:r w:rsidRPr="005A3244">
        <w:rPr>
          <w:rFonts w:cs="Times New Roman"/>
          <w:bCs/>
          <w:sz w:val="24"/>
          <w:szCs w:val="24"/>
          <w:lang w:val="en-US"/>
        </w:rPr>
        <w:t xml:space="preserve"> depending on composition, with faster gelation observed at higher inorganic content. The critical composition at PAN:SiO₂ ≈ 1:3 corresponds to a balance between crosslinking density and polymer mobility, enabling the formation of a percolated but non-densified structure.</w:t>
      </w:r>
    </w:p>
    <w:p w14:paraId="2AEFF342" w14:textId="5F746A53" w:rsidR="00E1684E" w:rsidRPr="005A3244" w:rsidRDefault="00E1684E" w:rsidP="00E1684E">
      <w:pPr>
        <w:ind w:firstLine="567"/>
        <w:rPr>
          <w:rFonts w:cs="Times New Roman"/>
          <w:bCs/>
          <w:sz w:val="24"/>
          <w:szCs w:val="24"/>
          <w:lang w:val="en-US"/>
        </w:rPr>
      </w:pPr>
      <w:r w:rsidRPr="005A3244">
        <w:rPr>
          <w:rFonts w:cs="Times New Roman"/>
          <w:bCs/>
          <w:sz w:val="24"/>
          <w:szCs w:val="24"/>
          <w:lang w:val="en-US"/>
        </w:rPr>
        <w:t>This regime is associated with the formation of interpenetrating polymer networks (</w:t>
      </w:r>
      <w:r w:rsidR="00C64B35" w:rsidRPr="005A3244">
        <w:rPr>
          <w:rFonts w:cs="Times New Roman"/>
          <w:bCs/>
          <w:sz w:val="24"/>
          <w:szCs w:val="24"/>
          <w:lang w:val="en-US"/>
        </w:rPr>
        <w:t>IPNs), in which the inorganic silica framework provides</w:t>
      </w:r>
      <w:r w:rsidRPr="005A3244">
        <w:rPr>
          <w:rFonts w:cs="Times New Roman"/>
          <w:bCs/>
          <w:sz w:val="24"/>
          <w:szCs w:val="24"/>
          <w:lang w:val="en-US"/>
        </w:rPr>
        <w:t xml:space="preserve"> structural rigidity, while PAN chains prevent excessive shrinkage and pore collapse. Such structural organization is essential for achieving high pore accessibility and uniform pore distribution.</w:t>
      </w:r>
    </w:p>
    <w:p w14:paraId="101FEE63" w14:textId="364E225B" w:rsidR="002814E2" w:rsidRPr="005A3244" w:rsidRDefault="002814E2" w:rsidP="00E1684E">
      <w:pPr>
        <w:ind w:firstLine="567"/>
        <w:rPr>
          <w:rFonts w:cs="Times New Roman"/>
          <w:bCs/>
          <w:sz w:val="24"/>
          <w:szCs w:val="24"/>
          <w:lang w:val="en-US"/>
        </w:rPr>
      </w:pPr>
      <w:r w:rsidRPr="005A3244">
        <w:rPr>
          <w:rFonts w:cs="Times New Roman"/>
          <w:bCs/>
          <w:sz w:val="24"/>
          <w:szCs w:val="24"/>
          <w:lang w:val="en-US"/>
        </w:rPr>
        <w:t>The obtained micrographs reveal a highly heterogeneous, porous structure composed of aggregated nanoscale domains that form a continuous network (figure 1). The surface exhibits a rough topology with irregularly distributed clusters and interparticle voids, indicating the formation of a loosely packed, highly accessible porous framework</w:t>
      </w:r>
      <w:r w:rsidR="00CD078B" w:rsidRPr="005A3244">
        <w:rPr>
          <w:rFonts w:cs="Times New Roman"/>
          <w:bCs/>
          <w:sz w:val="24"/>
          <w:szCs w:val="24"/>
          <w:lang w:val="en-US"/>
        </w:rPr>
        <w:t xml:space="preserve"> [17]</w:t>
      </w:r>
      <w:r w:rsidRPr="005A3244">
        <w:rPr>
          <w:rFonts w:cs="Times New Roman"/>
          <w:bCs/>
          <w:sz w:val="24"/>
          <w:szCs w:val="24"/>
          <w:lang w:val="en-US"/>
        </w:rPr>
        <w:t>.</w:t>
      </w:r>
    </w:p>
    <w:p w14:paraId="52EF951F" w14:textId="55B7389F" w:rsidR="003F45D1" w:rsidRPr="005A3244" w:rsidRDefault="00A324C9" w:rsidP="003F45D1">
      <w:pPr>
        <w:ind w:firstLine="0"/>
        <w:jc w:val="center"/>
        <w:rPr>
          <w:rFonts w:cs="Times New Roman"/>
          <w:sz w:val="24"/>
          <w:szCs w:val="24"/>
          <w:lang w:val="en-US"/>
        </w:rPr>
      </w:pPr>
      <w:r>
        <w:rPr>
          <w:noProof/>
          <w:sz w:val="24"/>
          <w:szCs w:val="24"/>
          <w:lang w:val="en-US"/>
        </w:rPr>
        <mc:AlternateContent>
          <mc:Choice Requires="wps">
            <w:drawing>
              <wp:anchor distT="0" distB="0" distL="114300" distR="114300" simplePos="0" relativeHeight="251663360" behindDoc="0" locked="0" layoutInCell="1" allowOverlap="1" wp14:anchorId="2819CB19" wp14:editId="7B4B4F55">
                <wp:simplePos x="0" y="0"/>
                <wp:positionH relativeFrom="column">
                  <wp:posOffset>5122545</wp:posOffset>
                </wp:positionH>
                <wp:positionV relativeFrom="paragraph">
                  <wp:posOffset>280670</wp:posOffset>
                </wp:positionV>
                <wp:extent cx="243840" cy="266700"/>
                <wp:effectExtent l="0" t="0" r="22860" b="19050"/>
                <wp:wrapNone/>
                <wp:docPr id="12" name="Надпись 12"/>
                <wp:cNvGraphicFramePr/>
                <a:graphic xmlns:a="http://schemas.openxmlformats.org/drawingml/2006/main">
                  <a:graphicData uri="http://schemas.microsoft.com/office/word/2010/wordprocessingShape">
                    <wps:wsp>
                      <wps:cNvSpPr txBox="1"/>
                      <wps:spPr>
                        <a:xfrm>
                          <a:off x="0" y="0"/>
                          <a:ext cx="243840" cy="266700"/>
                        </a:xfrm>
                        <a:prstGeom prst="rect">
                          <a:avLst/>
                        </a:prstGeom>
                        <a:solidFill>
                          <a:schemeClr val="lt1"/>
                        </a:solidFill>
                        <a:ln w="6350">
                          <a:solidFill>
                            <a:prstClr val="black"/>
                          </a:solidFill>
                        </a:ln>
                      </wps:spPr>
                      <wps:txbx>
                        <w:txbxContent>
                          <w:p w14:paraId="40C59150" w14:textId="1B8A42CC" w:rsidR="00A324C9" w:rsidRPr="00A324C9" w:rsidRDefault="00A324C9" w:rsidP="00A324C9">
                            <w:pPr>
                              <w:ind w:firstLine="0"/>
                              <w:rPr>
                                <w:lang w:val="en-US"/>
                              </w:rPr>
                            </w:pPr>
                            <w:r>
                              <w:rPr>
                                <w:lang w:val="en-U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19CB19" id="_x0000_t202" coordsize="21600,21600" o:spt="202" path="m,l,21600r21600,l21600,xe">
                <v:stroke joinstyle="miter"/>
                <v:path gradientshapeok="t" o:connecttype="rect"/>
              </v:shapetype>
              <v:shape id="Надпись 12" o:spid="_x0000_s1026" type="#_x0000_t202" style="position:absolute;left:0;text-align:left;margin-left:403.35pt;margin-top:22.1pt;width:19.2pt;height:2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" fillcolor="white [3201]" strokeweight=".5pt">
                <v:textbox>
                  <w:txbxContent>
                    <w:p w14:paraId="40C59150" w14:textId="1B8A42CC" w:rsidR="00A324C9" w:rsidRPr="00A324C9" w:rsidRDefault="00A324C9" w:rsidP="00A324C9">
                      <w:pPr>
                        <w:ind w:firstLine="0"/>
                        <w:rPr>
                          <w:lang w:val="en-US"/>
                        </w:rPr>
                      </w:pPr>
                      <w:r>
                        <w:rPr>
                          <w:lang w:val="en-US"/>
                        </w:rPr>
                        <w:t>b</w:t>
                      </w:r>
                    </w:p>
                  </w:txbxContent>
                </v:textbox>
              </v:shape>
            </w:pict>
          </mc:Fallback>
        </mc:AlternateContent>
      </w:r>
      <w:r>
        <w:rPr>
          <w:noProof/>
          <w:sz w:val="24"/>
          <w:szCs w:val="24"/>
          <w:lang w:val="en-US"/>
        </w:rPr>
        <mc:AlternateContent>
          <mc:Choice Requires="wps">
            <w:drawing>
              <wp:anchor distT="0" distB="0" distL="114300" distR="114300" simplePos="0" relativeHeight="251664384" behindDoc="0" locked="0" layoutInCell="1" allowOverlap="1" wp14:anchorId="5E719DBF" wp14:editId="52F42564">
                <wp:simplePos x="0" y="0"/>
                <wp:positionH relativeFrom="column">
                  <wp:posOffset>9801225</wp:posOffset>
                </wp:positionH>
                <wp:positionV relativeFrom="paragraph">
                  <wp:posOffset>303530</wp:posOffset>
                </wp:positionV>
                <wp:extent cx="243840" cy="266700"/>
                <wp:effectExtent l="0" t="0" r="22860" b="19050"/>
                <wp:wrapNone/>
                <wp:docPr id="13" name="Надпись 13"/>
                <wp:cNvGraphicFramePr/>
                <a:graphic xmlns:a="http://schemas.openxmlformats.org/drawingml/2006/main">
                  <a:graphicData uri="http://schemas.microsoft.com/office/word/2010/wordprocessingShape">
                    <wps:wsp>
                      <wps:cNvSpPr txBox="1"/>
                      <wps:spPr>
                        <a:xfrm>
                          <a:off x="0" y="0"/>
                          <a:ext cx="243840" cy="266700"/>
                        </a:xfrm>
                        <a:prstGeom prst="rect">
                          <a:avLst/>
                        </a:prstGeom>
                        <a:solidFill>
                          <a:schemeClr val="lt1"/>
                        </a:solidFill>
                        <a:ln w="6350">
                          <a:solidFill>
                            <a:prstClr val="black"/>
                          </a:solidFill>
                        </a:ln>
                      </wps:spPr>
                      <wps:txbx>
                        <w:txbxContent>
                          <w:p w14:paraId="0989A211" w14:textId="77777777" w:rsidR="00A324C9" w:rsidRPr="00A324C9" w:rsidRDefault="00A324C9" w:rsidP="00A324C9">
                            <w:pPr>
                              <w:ind w:firstLine="0"/>
                              <w:rPr>
                                <w:lang w:val="en-US"/>
                              </w:rPr>
                            </w:pPr>
                            <w:r>
                              <w:rPr>
                                <w:lang w:val="en-U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719DBF" id="Надпись 13" o:spid="_x0000_s1027" type="#_x0000_t202" style="position:absolute;left:0;text-align:left;margin-left:771.75pt;margin-top:23.9pt;width:19.2pt;height:2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" fillcolor="white [3201]" strokeweight=".5pt">
                <v:textbox>
                  <w:txbxContent>
                    <w:p w14:paraId="0989A211" w14:textId="77777777" w:rsidR="00A324C9" w:rsidRPr="00A324C9" w:rsidRDefault="00A324C9" w:rsidP="00A324C9">
                      <w:pPr>
                        <w:ind w:firstLine="0"/>
                        <w:rPr>
                          <w:lang w:val="en-US"/>
                        </w:rPr>
                      </w:pPr>
                      <w:r>
                        <w:rPr>
                          <w:lang w:val="en-US"/>
                        </w:rPr>
                        <w:t>a</w:t>
                      </w:r>
                    </w:p>
                  </w:txbxContent>
                </v:textbox>
              </v:shape>
            </w:pict>
          </mc:Fallback>
        </mc:AlternateContent>
      </w:r>
      <w:r>
        <w:rPr>
          <w:noProof/>
          <w:sz w:val="24"/>
          <w:szCs w:val="24"/>
          <w:lang w:val="en-US"/>
        </w:rPr>
        <mc:AlternateContent>
          <mc:Choice Requires="wps">
            <w:drawing>
              <wp:anchor distT="0" distB="0" distL="114300" distR="114300" simplePos="0" relativeHeight="251661312" behindDoc="0" locked="0" layoutInCell="1" allowOverlap="1" wp14:anchorId="30642971" wp14:editId="31954C7F">
                <wp:simplePos x="0" y="0"/>
                <wp:positionH relativeFrom="column">
                  <wp:posOffset>7149465</wp:posOffset>
                </wp:positionH>
                <wp:positionV relativeFrom="paragraph">
                  <wp:posOffset>280670</wp:posOffset>
                </wp:positionV>
                <wp:extent cx="243840" cy="266700"/>
                <wp:effectExtent l="0" t="0" r="22860" b="19050"/>
                <wp:wrapNone/>
                <wp:docPr id="11" name="Надпись 11"/>
                <wp:cNvGraphicFramePr/>
                <a:graphic xmlns:a="http://schemas.openxmlformats.org/drawingml/2006/main">
                  <a:graphicData uri="http://schemas.microsoft.com/office/word/2010/wordprocessingShape">
                    <wps:wsp>
                      <wps:cNvSpPr txBox="1"/>
                      <wps:spPr>
                        <a:xfrm>
                          <a:off x="0" y="0"/>
                          <a:ext cx="243840" cy="266700"/>
                        </a:xfrm>
                        <a:prstGeom prst="rect">
                          <a:avLst/>
                        </a:prstGeom>
                        <a:solidFill>
                          <a:schemeClr val="lt1"/>
                        </a:solidFill>
                        <a:ln w="6350">
                          <a:solidFill>
                            <a:prstClr val="black"/>
                          </a:solidFill>
                        </a:ln>
                      </wps:spPr>
                      <wps:txbx>
                        <w:txbxContent>
                          <w:p w14:paraId="4314EA01" w14:textId="77777777" w:rsidR="00A324C9" w:rsidRPr="00A324C9" w:rsidRDefault="00A324C9" w:rsidP="00A324C9">
                            <w:pPr>
                              <w:ind w:firstLine="0"/>
                              <w:rPr>
                                <w:lang w:val="en-US"/>
                              </w:rPr>
                            </w:pPr>
                            <w:r>
                              <w:rPr>
                                <w:lang w:val="en-U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642971" id="Надпись 11" o:spid="_x0000_s1028" type="#_x0000_t202" style="position:absolute;left:0;text-align:left;margin-left:562.95pt;margin-top:22.1pt;width:19.2pt;height:2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" fillcolor="white [3201]" strokeweight=".5pt">
                <v:textbox>
                  <w:txbxContent>
                    <w:p w14:paraId="4314EA01" w14:textId="77777777" w:rsidR="00A324C9" w:rsidRPr="00A324C9" w:rsidRDefault="00A324C9" w:rsidP="00A324C9">
                      <w:pPr>
                        <w:ind w:firstLine="0"/>
                        <w:rPr>
                          <w:lang w:val="en-US"/>
                        </w:rPr>
                      </w:pPr>
                      <w:r>
                        <w:rPr>
                          <w:lang w:val="en-US"/>
                        </w:rPr>
                        <w:t>a</w:t>
                      </w:r>
                    </w:p>
                  </w:txbxContent>
                </v:textbox>
              </v:shape>
            </w:pict>
          </mc:Fallback>
        </mc:AlternateContent>
      </w:r>
      <w:r>
        <w:rPr>
          <w:noProof/>
          <w:sz w:val="24"/>
          <w:szCs w:val="24"/>
          <w:lang w:val="en-US"/>
        </w:rPr>
        <mc:AlternateContent>
          <mc:Choice Requires="wps">
            <w:drawing>
              <wp:anchor distT="0" distB="0" distL="114300" distR="114300" simplePos="0" relativeHeight="251659264" behindDoc="0" locked="0" layoutInCell="1" allowOverlap="1" wp14:anchorId="210C9655" wp14:editId="2E313A46">
                <wp:simplePos x="0" y="0"/>
                <wp:positionH relativeFrom="column">
                  <wp:posOffset>2470785</wp:posOffset>
                </wp:positionH>
                <wp:positionV relativeFrom="paragraph">
                  <wp:posOffset>257810</wp:posOffset>
                </wp:positionV>
                <wp:extent cx="243840" cy="266700"/>
                <wp:effectExtent l="0" t="0" r="22860" b="19050"/>
                <wp:wrapNone/>
                <wp:docPr id="6" name="Надпись 6"/>
                <wp:cNvGraphicFramePr/>
                <a:graphic xmlns:a="http://schemas.openxmlformats.org/drawingml/2006/main">
                  <a:graphicData uri="http://schemas.microsoft.com/office/word/2010/wordprocessingShape">
                    <wps:wsp>
                      <wps:cNvSpPr txBox="1"/>
                      <wps:spPr>
                        <a:xfrm>
                          <a:off x="0" y="0"/>
                          <a:ext cx="243840" cy="266700"/>
                        </a:xfrm>
                        <a:prstGeom prst="rect">
                          <a:avLst/>
                        </a:prstGeom>
                        <a:solidFill>
                          <a:schemeClr val="lt1"/>
                        </a:solidFill>
                        <a:ln w="6350">
                          <a:solidFill>
                            <a:prstClr val="black"/>
                          </a:solidFill>
                        </a:ln>
                      </wps:spPr>
                      <wps:txbx>
                        <w:txbxContent>
                          <w:p w14:paraId="61E2A75E" w14:textId="144D4337" w:rsidR="00A324C9" w:rsidRPr="00A324C9" w:rsidRDefault="00A324C9" w:rsidP="00A324C9">
                            <w:pPr>
                              <w:ind w:firstLine="0"/>
                              <w:rPr>
                                <w:lang w:val="en-US"/>
                              </w:rPr>
                            </w:pPr>
                            <w:r>
                              <w:rPr>
                                <w:lang w:val="en-U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0C9655" id="Надпись 6" o:spid="_x0000_s1029" type="#_x0000_t202" style="position:absolute;left:0;text-align:left;margin-left:194.55pt;margin-top:20.3pt;width:19.2pt;height:2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" fillcolor="white [3201]" strokeweight=".5pt">
                <v:textbox>
                  <w:txbxContent>
                    <w:p w14:paraId="61E2A75E" w14:textId="144D4337" w:rsidR="00A324C9" w:rsidRPr="00A324C9" w:rsidRDefault="00A324C9" w:rsidP="00A324C9">
                      <w:pPr>
                        <w:ind w:firstLine="0"/>
                        <w:rPr>
                          <w:lang w:val="en-US"/>
                        </w:rPr>
                      </w:pPr>
                      <w:r>
                        <w:rPr>
                          <w:lang w:val="en-US"/>
                        </w:rPr>
                        <w:t>a</w:t>
                      </w:r>
                    </w:p>
                  </w:txbxContent>
                </v:textbox>
              </v:shape>
            </w:pict>
          </mc:Fallback>
        </mc:AlternateContent>
      </w:r>
      <w:r w:rsidR="003F45D1" w:rsidRPr="005A3244">
        <w:rPr>
          <w:noProof/>
          <w:sz w:val="24"/>
          <w:szCs w:val="24"/>
          <w:lang w:val="en-US"/>
        </w:rPr>
        <w:drawing>
          <wp:inline distT="0" distB="0" distL="0" distR="0" wp14:anchorId="4C38A07A" wp14:editId="1C9B8C34">
            <wp:extent cx="2387600" cy="1997876"/>
            <wp:effectExtent l="0" t="0" r="0" b="2540"/>
            <wp:docPr id="1" name="Рисунок 1" descr="E:\Докторантура\Jayhun_diss\SILICA_PAN\Silica_PAN\SEM\7_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E:\Докторантура\Jayhun_diss\SILICA_PAN\Silica_PAN\SEM\7_5.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08072" cy="2015006"/>
                    </a:xfrm>
                    <a:prstGeom prst="rect">
                      <a:avLst/>
                    </a:prstGeom>
                    <a:noFill/>
                    <a:ln>
                      <a:noFill/>
                    </a:ln>
                  </pic:spPr>
                </pic:pic>
              </a:graphicData>
            </a:graphic>
          </wp:inline>
        </w:drawing>
      </w:r>
      <w:r w:rsidR="003F45D1" w:rsidRPr="005A3244">
        <w:rPr>
          <w:noProof/>
          <w:sz w:val="24"/>
          <w:szCs w:val="24"/>
          <w:lang w:val="en-US"/>
        </w:rPr>
        <w:drawing>
          <wp:inline distT="0" distB="0" distL="0" distR="0" wp14:anchorId="194384BE" wp14:editId="4E483D1F">
            <wp:extent cx="2742174" cy="2235200"/>
            <wp:effectExtent l="0" t="0" r="1270" b="0"/>
            <wp:docPr id="2" name="Рисунок 2" descr="E:\Докторантура\Jayhun_diss\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E:\Докторантура\Jayhun_diss\7.5.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64456" cy="2253362"/>
                    </a:xfrm>
                    <a:prstGeom prst="rect">
                      <a:avLst/>
                    </a:prstGeom>
                    <a:noFill/>
                    <a:ln>
                      <a:noFill/>
                    </a:ln>
                  </pic:spPr>
                </pic:pic>
              </a:graphicData>
            </a:graphic>
          </wp:inline>
        </w:drawing>
      </w:r>
    </w:p>
    <w:p w14:paraId="2A7B6001" w14:textId="2299F758" w:rsidR="002814E2" w:rsidRPr="005A3244" w:rsidRDefault="002814E2" w:rsidP="003F45D1">
      <w:pPr>
        <w:ind w:firstLine="0"/>
        <w:jc w:val="center"/>
        <w:rPr>
          <w:rFonts w:cs="Times New Roman"/>
          <w:b/>
          <w:sz w:val="24"/>
          <w:szCs w:val="24"/>
          <w:lang w:val="uz-Cyrl-UZ"/>
        </w:rPr>
      </w:pPr>
      <w:r w:rsidRPr="005A3244">
        <w:rPr>
          <w:rFonts w:cs="Times New Roman"/>
          <w:b/>
          <w:sz w:val="24"/>
          <w:szCs w:val="24"/>
          <w:lang w:val="en-US"/>
        </w:rPr>
        <w:t>Figure 1. (a) SEM micrograph of PAN–SiO₂ hybrid nanocomposite; (b) particle size distribution obtained from SEM image analysis.</w:t>
      </w:r>
    </w:p>
    <w:p w14:paraId="5D75C40B" w14:textId="77777777" w:rsidR="003427F2" w:rsidRDefault="003427F2" w:rsidP="00E1684E">
      <w:pPr>
        <w:ind w:firstLine="567"/>
        <w:rPr>
          <w:rFonts w:cs="Times New Roman"/>
          <w:bCs/>
          <w:sz w:val="24"/>
          <w:szCs w:val="24"/>
          <w:lang w:val="en-US"/>
        </w:rPr>
      </w:pPr>
    </w:p>
    <w:p w14:paraId="529FAE53" w14:textId="29E214A6" w:rsidR="003F45D1" w:rsidRPr="005A3244" w:rsidRDefault="00CC7BFD" w:rsidP="00E1684E">
      <w:pPr>
        <w:ind w:firstLine="567"/>
        <w:rPr>
          <w:rFonts w:cs="Times New Roman"/>
          <w:bCs/>
          <w:sz w:val="24"/>
          <w:szCs w:val="24"/>
          <w:lang w:val="en-US"/>
        </w:rPr>
      </w:pPr>
      <w:r w:rsidRPr="005A3244">
        <w:rPr>
          <w:rFonts w:cs="Times New Roman"/>
          <w:bCs/>
          <w:sz w:val="24"/>
          <w:szCs w:val="24"/>
          <w:lang w:val="en-US"/>
        </w:rPr>
        <w:t xml:space="preserve">The observed morphology suggests that the sol–gel process in the presence of PAN </w:t>
      </w:r>
      <w:r w:rsidR="00BF5356" w:rsidRPr="005A3244">
        <w:rPr>
          <w:rFonts w:cs="Times New Roman"/>
          <w:bCs/>
          <w:sz w:val="24"/>
          <w:szCs w:val="24"/>
          <w:lang w:val="en-US"/>
        </w:rPr>
        <w:t>forms a fractal-like structure, in which primary silica particles are interconnected via</w:t>
      </w:r>
      <w:r w:rsidRPr="005A3244">
        <w:rPr>
          <w:rFonts w:cs="Times New Roman"/>
          <w:bCs/>
          <w:sz w:val="24"/>
          <w:szCs w:val="24"/>
          <w:lang w:val="en-US"/>
        </w:rPr>
        <w:t xml:space="preserve"> polymer-mediated interactions. Such aggregation behavior is characteristic of hybrid systems formed via simultaneous inorganic condensation and organic phase incorporation, resulting in hierarchical structuring across multiple length scales.</w:t>
      </w:r>
    </w:p>
    <w:p w14:paraId="0F85A714" w14:textId="6A6DEA30" w:rsidR="00CC7BFD" w:rsidRPr="005A3244" w:rsidRDefault="00CC7BFD" w:rsidP="00E1684E">
      <w:pPr>
        <w:ind w:firstLine="567"/>
        <w:rPr>
          <w:rFonts w:cs="Times New Roman"/>
          <w:bCs/>
          <w:sz w:val="24"/>
          <w:szCs w:val="24"/>
          <w:lang w:val="en-US"/>
        </w:rPr>
      </w:pPr>
      <w:r w:rsidRPr="005A3244">
        <w:rPr>
          <w:rFonts w:cs="Times New Roman"/>
          <w:bCs/>
          <w:sz w:val="24"/>
          <w:szCs w:val="24"/>
          <w:lang w:val="en-US"/>
        </w:rPr>
        <w:lastRenderedPageBreak/>
        <w:t>The absence of dense, compact regions confirms that the incorporation of PAN effectively suppresses excessive silica densification, which is consistent with the previously observed optimal porosity at intermediate compositions. The formation of interconnected aggregates provides both high surface area and open diffusion pathways, which are critical for adsorption processes.</w:t>
      </w:r>
    </w:p>
    <w:p w14:paraId="15BE1F7D" w14:textId="33B48B17" w:rsidR="00CC7BFD" w:rsidRPr="005A3244" w:rsidRDefault="00CC7BFD" w:rsidP="00E1684E">
      <w:pPr>
        <w:ind w:firstLine="567"/>
        <w:rPr>
          <w:rFonts w:cs="Times New Roman"/>
          <w:bCs/>
          <w:sz w:val="24"/>
          <w:szCs w:val="24"/>
          <w:lang w:val="en-US"/>
        </w:rPr>
      </w:pPr>
      <w:r w:rsidRPr="005A3244">
        <w:rPr>
          <w:rFonts w:cs="Times New Roman"/>
          <w:bCs/>
          <w:sz w:val="24"/>
          <w:szCs w:val="24"/>
          <w:lang w:val="en-US"/>
        </w:rPr>
        <w:t>The particle size distribution derived from image analysis shows a strongly skewed profile, indicating a non-uniform size distribution characteristic of aggregation-driven growth mechanisms. The majority of particles are concentrated in the 5–10 nm range, with a pronounced maximum around 6–8 nm, while a smaller fraction extends to larger sizes up to 60 nm.</w:t>
      </w:r>
    </w:p>
    <w:p w14:paraId="09C983B6" w14:textId="7326729C" w:rsidR="00CC7BFD" w:rsidRPr="005A3244" w:rsidRDefault="00CC7BFD" w:rsidP="00E1684E">
      <w:pPr>
        <w:ind w:firstLine="567"/>
        <w:rPr>
          <w:rFonts w:cs="Times New Roman"/>
          <w:bCs/>
          <w:sz w:val="24"/>
          <w:szCs w:val="24"/>
          <w:lang w:val="en-US"/>
        </w:rPr>
      </w:pPr>
      <w:r w:rsidRPr="005A3244">
        <w:rPr>
          <w:rFonts w:cs="Times New Roman"/>
          <w:bCs/>
          <w:sz w:val="24"/>
          <w:szCs w:val="24"/>
          <w:lang w:val="en-US"/>
        </w:rPr>
        <w:t>This distribution suggests that the primary building units of the structure are nanosized particles that subsequently aggregate into larger clusters. The presence of a long tail toward larger sizes reflects secondary aggregation processes and cluster–cluster interactions.</w:t>
      </w:r>
    </w:p>
    <w:p w14:paraId="5B679944" w14:textId="76079097" w:rsidR="00CC7BFD" w:rsidRPr="005A3244" w:rsidRDefault="00CC7BFD" w:rsidP="00E1684E">
      <w:pPr>
        <w:ind w:firstLine="567"/>
        <w:rPr>
          <w:rFonts w:cs="Times New Roman"/>
          <w:bCs/>
          <w:sz w:val="24"/>
          <w:szCs w:val="24"/>
          <w:lang w:val="en-US"/>
        </w:rPr>
      </w:pPr>
      <w:r w:rsidRPr="005A3244">
        <w:rPr>
          <w:rFonts w:cs="Times New Roman"/>
          <w:bCs/>
          <w:sz w:val="24"/>
          <w:szCs w:val="24"/>
          <w:lang w:val="en-US"/>
        </w:rPr>
        <w:t>Such a distribution is typical for sol–gel-derived systems, where nucleation produces small primary particles followed by diffusion-limited aggregation. The dominance of nanoscale particles confirms the formation of a highly dispersed structure, which is consistent with the high micropore contribution (~95%) observed in adsorption measurements.</w:t>
      </w:r>
    </w:p>
    <w:p w14:paraId="2D4F5976" w14:textId="4BF74E54" w:rsidR="00C64B35" w:rsidRPr="005A3244" w:rsidRDefault="00EB480D" w:rsidP="00E1684E">
      <w:pPr>
        <w:ind w:firstLine="567"/>
        <w:rPr>
          <w:rFonts w:cs="Times New Roman"/>
          <w:b/>
          <w:bCs/>
          <w:color w:val="0070C0"/>
          <w:sz w:val="24"/>
          <w:szCs w:val="24"/>
          <w:lang w:val="en-US"/>
        </w:rPr>
      </w:pPr>
      <w:r w:rsidRPr="005A3244">
        <w:rPr>
          <w:rFonts w:cs="Times New Roman"/>
          <w:b/>
          <w:bCs/>
          <w:color w:val="0070C0"/>
          <w:sz w:val="24"/>
          <w:szCs w:val="24"/>
          <w:lang w:val="en-US"/>
        </w:rPr>
        <w:t xml:space="preserve">3.2. </w:t>
      </w:r>
      <w:r w:rsidR="00C64B35" w:rsidRPr="005A3244">
        <w:rPr>
          <w:rFonts w:cs="Times New Roman"/>
          <w:b/>
          <w:bCs/>
          <w:color w:val="0070C0"/>
          <w:sz w:val="24"/>
          <w:szCs w:val="24"/>
          <w:lang w:val="en-US"/>
        </w:rPr>
        <w:t>Benzene Adsorption: Quantitative Analysis of Pore Accessibility</w:t>
      </w:r>
    </w:p>
    <w:p w14:paraId="67FD68BC" w14:textId="0E6937D0" w:rsidR="008D4084" w:rsidRDefault="00C22105" w:rsidP="008D4084">
      <w:pPr>
        <w:pStyle w:val="af6"/>
        <w:spacing w:before="0" w:beforeAutospacing="0" w:after="0" w:afterAutospacing="0"/>
        <w:ind w:firstLine="567"/>
        <w:jc w:val="both"/>
        <w:rPr>
          <w:lang w:val="en-US"/>
        </w:rPr>
      </w:pPr>
      <w:r w:rsidRPr="005A3244">
        <w:rPr>
          <w:lang w:val="en-US"/>
        </w:rPr>
        <w:t>The benzene adsorption isotherms of the investigated samples exhibit a characteristic S-shaped profile, corresponding to type II isotherms, which indicates multilayer adsorption on heterogeneous surfaces and confirms the applicability of the BET model for quantitative analysis of the capillary–porous structure</w:t>
      </w:r>
      <w:r w:rsidR="00F31B91" w:rsidRPr="005A3244">
        <w:rPr>
          <w:lang w:val="en-US"/>
        </w:rPr>
        <w:t xml:space="preserve"> (figure 2)</w:t>
      </w:r>
      <w:r w:rsidR="008D4084" w:rsidRPr="005A3244">
        <w:rPr>
          <w:lang w:val="en-US"/>
        </w:rPr>
        <w:t>.</w:t>
      </w:r>
    </w:p>
    <w:p w14:paraId="09EED555" w14:textId="77777777" w:rsidR="003427F2" w:rsidRPr="005A3244" w:rsidRDefault="003427F2" w:rsidP="008D4084">
      <w:pPr>
        <w:pStyle w:val="af6"/>
        <w:spacing w:before="0" w:beforeAutospacing="0" w:after="0" w:afterAutospacing="0"/>
        <w:ind w:firstLine="567"/>
        <w:jc w:val="both"/>
        <w:rPr>
          <w:lang w:val="en-US"/>
        </w:rPr>
      </w:pPr>
    </w:p>
    <w:p w14:paraId="6B2769A0" w14:textId="2B9189E9" w:rsidR="00E750C1" w:rsidRPr="005A3244" w:rsidRDefault="00E750C1" w:rsidP="00E750C1">
      <w:pPr>
        <w:pStyle w:val="af6"/>
        <w:spacing w:before="0" w:beforeAutospacing="0" w:after="0" w:afterAutospacing="0"/>
        <w:jc w:val="center"/>
        <w:rPr>
          <w:lang w:val="en-US"/>
        </w:rPr>
      </w:pPr>
      <w:r w:rsidRPr="005A3244">
        <w:rPr>
          <w:noProof/>
          <w:lang w:val="en-US" w:eastAsia="en-US"/>
        </w:rPr>
        <w:drawing>
          <wp:inline distT="0" distB="0" distL="0" distR="0" wp14:anchorId="096479C1" wp14:editId="5CC6B10F">
            <wp:extent cx="3619500" cy="2790825"/>
            <wp:effectExtent l="0" t="0" r="0" b="0"/>
            <wp:docPr id="43" name="Диаграмма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20FE8E74" w14:textId="415866D1" w:rsidR="00AA7E5B" w:rsidRPr="005A3244" w:rsidRDefault="00B8685C" w:rsidP="008D4084">
      <w:pPr>
        <w:pStyle w:val="af6"/>
        <w:spacing w:before="0" w:beforeAutospacing="0" w:after="0" w:afterAutospacing="0"/>
        <w:jc w:val="center"/>
        <w:rPr>
          <w:b/>
          <w:lang w:val="en-US"/>
        </w:rPr>
      </w:pPr>
      <w:r w:rsidRPr="005A3244">
        <w:rPr>
          <w:b/>
          <w:lang w:val="en-US"/>
        </w:rPr>
        <w:t xml:space="preserve">Figure 2. </w:t>
      </w:r>
      <w:r w:rsidR="00AA7E5B" w:rsidRPr="005A3244">
        <w:rPr>
          <w:b/>
          <w:lang w:val="en-US"/>
        </w:rPr>
        <w:t xml:space="preserve">Benzene adsorption isotherms of </w:t>
      </w:r>
      <w:r w:rsidRPr="005A3244">
        <w:rPr>
          <w:b/>
          <w:lang w:val="en-US"/>
        </w:rPr>
        <w:t>PAN–SiO₂ hybrid nanocomposites</w:t>
      </w:r>
    </w:p>
    <w:p w14:paraId="2A7AD09B" w14:textId="77777777" w:rsidR="003427F2" w:rsidRDefault="003427F2" w:rsidP="00D72BE0">
      <w:pPr>
        <w:pStyle w:val="af6"/>
        <w:spacing w:before="0" w:beforeAutospacing="0" w:after="0" w:afterAutospacing="0"/>
        <w:ind w:firstLine="567"/>
        <w:jc w:val="both"/>
        <w:rPr>
          <w:lang w:val="en-US"/>
        </w:rPr>
      </w:pPr>
    </w:p>
    <w:p w14:paraId="776D2D2C" w14:textId="0246A83B" w:rsidR="00C22105" w:rsidRPr="005A3244" w:rsidRDefault="00D72BE0" w:rsidP="00D72BE0">
      <w:pPr>
        <w:pStyle w:val="af6"/>
        <w:spacing w:before="0" w:beforeAutospacing="0" w:after="0" w:afterAutospacing="0"/>
        <w:ind w:firstLine="567"/>
        <w:jc w:val="both"/>
        <w:rPr>
          <w:lang w:val="en-US"/>
        </w:rPr>
      </w:pPr>
      <w:r w:rsidRPr="005A3244">
        <w:rPr>
          <w:lang w:val="en-US"/>
        </w:rPr>
        <w:t xml:space="preserve">A systematic increase in adsorption capacity is observed with increasing silica content in the composite. The lowest adsorption is </w:t>
      </w:r>
      <w:r w:rsidR="001377C3" w:rsidRPr="005A3244">
        <w:rPr>
          <w:lang w:val="en-US"/>
        </w:rPr>
        <w:t>observed for pristine PAN (X</w:t>
      </w:r>
      <w:r w:rsidR="001377C3" w:rsidRPr="005A3244">
        <w:rPr>
          <w:vertAlign w:val="subscript"/>
          <w:lang w:val="en-US"/>
        </w:rPr>
        <w:t>m</w:t>
      </w:r>
      <w:r w:rsidR="001377C3" w:rsidRPr="005A3244">
        <w:rPr>
          <w:lang w:val="en-US"/>
        </w:rPr>
        <w:t xml:space="preserve"> = 0.0027 g/g; S_BET = 6.36 m²/g), whereas</w:t>
      </w:r>
      <w:r w:rsidRPr="005A3244">
        <w:rPr>
          <w:lang w:val="en-US"/>
        </w:rPr>
        <w:t xml:space="preserve"> pure silica exhibits significantly higher values (X</w:t>
      </w:r>
      <w:r w:rsidRPr="005A3244">
        <w:rPr>
          <w:vertAlign w:val="subscript"/>
          <w:lang w:val="en-US"/>
        </w:rPr>
        <w:t>m</w:t>
      </w:r>
      <w:r w:rsidRPr="005A3244">
        <w:rPr>
          <w:lang w:val="en-US"/>
        </w:rPr>
        <w:t xml:space="preserve"> = </w:t>
      </w:r>
      <w:r w:rsidR="00F31B91" w:rsidRPr="005A3244">
        <w:rPr>
          <w:lang w:val="en-US"/>
        </w:rPr>
        <w:t>0.0066 g/g; S</w:t>
      </w:r>
      <w:r w:rsidRPr="005A3244">
        <w:rPr>
          <w:vertAlign w:val="subscript"/>
          <w:lang w:val="en-US"/>
        </w:rPr>
        <w:t>BET</w:t>
      </w:r>
      <w:r w:rsidRPr="005A3244">
        <w:rPr>
          <w:lang w:val="en-US"/>
        </w:rPr>
        <w:t xml:space="preserve"> = 15.54 m²/g). Hybrid systems show intermediate but strongly composition-dependent behavior</w:t>
      </w:r>
      <w:r w:rsidR="0007508B" w:rsidRPr="005A3244">
        <w:rPr>
          <w:lang w:val="en-US"/>
        </w:rPr>
        <w:t xml:space="preserve"> (table 1)</w:t>
      </w:r>
      <w:r w:rsidRPr="005A3244">
        <w:rPr>
          <w:lang w:val="en-US"/>
        </w:rPr>
        <w:t>.</w:t>
      </w:r>
    </w:p>
    <w:p w14:paraId="42BE8508" w14:textId="12B65D31" w:rsidR="001270FB" w:rsidRDefault="001270FB" w:rsidP="001270FB">
      <w:pPr>
        <w:pStyle w:val="af6"/>
        <w:spacing w:before="0" w:beforeAutospacing="0" w:after="0" w:afterAutospacing="0"/>
        <w:ind w:firstLine="567"/>
        <w:jc w:val="both"/>
        <w:rPr>
          <w:lang w:val="en-US"/>
        </w:rPr>
      </w:pPr>
      <w:r w:rsidRPr="005A3244">
        <w:rPr>
          <w:lang w:val="en-US"/>
        </w:rPr>
        <w:t>A pronounced structural effect is observed at the composition PAN:SiO₂ = 1:3, where the adsorption capacity reaches a maximum value of X</w:t>
      </w:r>
      <w:r w:rsidRPr="005A3244">
        <w:rPr>
          <w:vertAlign w:val="subscript"/>
          <w:lang w:val="en-US"/>
        </w:rPr>
        <w:t>m</w:t>
      </w:r>
      <w:r w:rsidRPr="005A3244">
        <w:rPr>
          <w:lang w:val="en-US"/>
        </w:rPr>
        <w:t xml:space="preserve"> = 0.0085 g/g and the specific surface area increases to 20.01 m²/g, exceeding not only the polymer but also the silica reference. This behavior indicates that pore development in hybrid systems is not a linear combination of components, but rather a result of cooperative structural organization</w:t>
      </w:r>
      <w:r w:rsidR="00CD078B" w:rsidRPr="005A3244">
        <w:rPr>
          <w:lang w:val="en-US"/>
        </w:rPr>
        <w:t xml:space="preserve"> [18]</w:t>
      </w:r>
      <w:r w:rsidRPr="005A3244">
        <w:rPr>
          <w:lang w:val="en-US"/>
        </w:rPr>
        <w:t>.</w:t>
      </w:r>
    </w:p>
    <w:p w14:paraId="2451DD04" w14:textId="77777777" w:rsidR="00FA0209" w:rsidRPr="005A3244" w:rsidRDefault="00FA0209" w:rsidP="00FA0209">
      <w:pPr>
        <w:rPr>
          <w:sz w:val="24"/>
          <w:szCs w:val="24"/>
          <w:lang w:val="en-US"/>
        </w:rPr>
      </w:pPr>
      <w:r w:rsidRPr="005A3244">
        <w:rPr>
          <w:sz w:val="24"/>
          <w:szCs w:val="24"/>
          <w:lang w:val="en-US"/>
        </w:rPr>
        <w:t>The pore volume and structure are also significantly modified. The average pore radius (r</w:t>
      </w:r>
      <w:r w:rsidRPr="005A3244">
        <w:rPr>
          <w:sz w:val="24"/>
          <w:szCs w:val="24"/>
          <w:vertAlign w:val="subscript"/>
          <w:lang w:val="en-US"/>
        </w:rPr>
        <w:t>avg</w:t>
      </w:r>
      <w:r w:rsidRPr="005A3244">
        <w:rPr>
          <w:sz w:val="24"/>
          <w:szCs w:val="24"/>
          <w:lang w:val="en-US"/>
        </w:rPr>
        <w:t xml:space="preserve">) increases from </w:t>
      </w:r>
      <w:r w:rsidRPr="005A3244">
        <w:rPr>
          <w:rStyle w:val="af7"/>
          <w:b w:val="0"/>
          <w:sz w:val="24"/>
          <w:szCs w:val="24"/>
          <w:lang w:val="en-US"/>
        </w:rPr>
        <w:t>50.31 Å (PAN)</w:t>
      </w:r>
      <w:r w:rsidRPr="005A3244">
        <w:rPr>
          <w:sz w:val="24"/>
          <w:szCs w:val="24"/>
          <w:lang w:val="en-US"/>
        </w:rPr>
        <w:t xml:space="preserve"> and </w:t>
      </w:r>
      <w:r w:rsidRPr="005A3244">
        <w:rPr>
          <w:rStyle w:val="af7"/>
          <w:b w:val="0"/>
          <w:sz w:val="24"/>
          <w:szCs w:val="24"/>
          <w:lang w:val="en-US"/>
        </w:rPr>
        <w:t>202.70 Å (silica)</w:t>
      </w:r>
      <w:r w:rsidRPr="005A3244">
        <w:rPr>
          <w:sz w:val="24"/>
          <w:szCs w:val="24"/>
          <w:lang w:val="en-US"/>
        </w:rPr>
        <w:t xml:space="preserve"> to </w:t>
      </w:r>
      <w:r w:rsidRPr="005A3244">
        <w:rPr>
          <w:rStyle w:val="af7"/>
          <w:b w:val="0"/>
          <w:sz w:val="24"/>
          <w:szCs w:val="24"/>
          <w:lang w:val="en-US"/>
        </w:rPr>
        <w:t>186.01 Å</w:t>
      </w:r>
      <w:r w:rsidRPr="005A3244">
        <w:rPr>
          <w:sz w:val="24"/>
          <w:szCs w:val="24"/>
          <w:lang w:val="en-US"/>
        </w:rPr>
        <w:t xml:space="preserve"> in the PAN:SiO₂ = 1:3 system, indicating the formation of a distinct pore architecture. Importantly, this composition also </w:t>
      </w:r>
      <w:r w:rsidRPr="005A3244">
        <w:rPr>
          <w:sz w:val="24"/>
          <w:szCs w:val="24"/>
          <w:lang w:val="en-US"/>
        </w:rPr>
        <w:lastRenderedPageBreak/>
        <w:t xml:space="preserve">exhibits the highest values of thermodynamic parameters </w:t>
      </w:r>
      <w:r w:rsidRPr="005A3244">
        <w:rPr>
          <w:rFonts w:cs="Times New Roman"/>
          <w:sz w:val="24"/>
          <w:szCs w:val="24"/>
          <w:lang w:val="en-US"/>
        </w:rPr>
        <w:t>(</w:t>
      </w:r>
      <m:oMath>
        <m:r>
          <w:rPr>
            <w:rFonts w:ascii="Cambria Math" w:hAnsi="Cambria Math" w:cs="Times New Roman"/>
            <w:sz w:val="24"/>
            <w:szCs w:val="24"/>
          </w:rPr>
          <m:t>-∆</m:t>
        </m:r>
        <m:sSubSup>
          <m:sSubSupPr>
            <m:ctrlPr>
              <w:rPr>
                <w:rFonts w:ascii="Cambria Math" w:hAnsi="Cambria Math" w:cs="Times New Roman"/>
                <w:bCs/>
                <w:i/>
                <w:iCs/>
                <w:sz w:val="24"/>
                <w:szCs w:val="24"/>
              </w:rPr>
            </m:ctrlPr>
          </m:sSubSupPr>
          <m:e>
            <m:r>
              <m:rPr>
                <m:sty m:val="p"/>
              </m:rPr>
              <w:rPr>
                <w:rFonts w:ascii="Cambria Math" w:hAnsi="Cambria Math" w:cs="Times New Roman"/>
                <w:sz w:val="24"/>
                <w:szCs w:val="24"/>
              </w:rPr>
              <m:t>g</m:t>
            </m:r>
          </m:e>
          <m:sub>
            <m:r>
              <w:rPr>
                <w:rFonts w:ascii="Cambria Math" w:hAnsi="Cambria Math" w:cs="Times New Roman"/>
                <w:sz w:val="24"/>
                <w:szCs w:val="24"/>
              </w:rPr>
              <m:t>m</m:t>
            </m:r>
          </m:sub>
          <m:sup>
            <m:r>
              <m:rPr>
                <m:nor/>
              </m:rPr>
              <w:rPr>
                <w:rFonts w:cs="Times New Roman"/>
                <w:i/>
                <w:sz w:val="24"/>
                <w:szCs w:val="24"/>
                <w:lang w:val="en-US"/>
              </w:rPr>
              <m:t>max</m:t>
            </m:r>
          </m:sup>
        </m:sSubSup>
      </m:oMath>
      <w:r w:rsidRPr="005A3244">
        <w:rPr>
          <w:sz w:val="24"/>
          <w:szCs w:val="24"/>
          <w:lang w:val="en-US"/>
        </w:rPr>
        <w:t xml:space="preserve"> = 2.47 J/mol; −</w:t>
      </w:r>
      <w:r w:rsidRPr="005A3244">
        <w:rPr>
          <w:sz w:val="24"/>
          <w:szCs w:val="24"/>
        </w:rPr>
        <w:t>Δ</w:t>
      </w:r>
      <w:r w:rsidRPr="005A3244">
        <w:rPr>
          <w:sz w:val="24"/>
          <w:szCs w:val="24"/>
          <w:lang w:val="en-US"/>
        </w:rPr>
        <w:t>G</w:t>
      </w:r>
      <w:r w:rsidRPr="005A3244">
        <w:rPr>
          <w:sz w:val="24"/>
          <w:szCs w:val="24"/>
        </w:rPr>
        <w:t>ᵢ</w:t>
      </w:r>
      <w:r w:rsidRPr="005A3244">
        <w:rPr>
          <w:sz w:val="24"/>
          <w:szCs w:val="24"/>
          <w:lang w:val="en-US"/>
        </w:rPr>
        <w:t xml:space="preserve"> = 2.30 J/mol), confirming enhanced interaction between adsorbate and adsorbent.</w:t>
      </w:r>
    </w:p>
    <w:p w14:paraId="7921E4C2" w14:textId="77777777" w:rsidR="00FA0209" w:rsidRPr="005A3244" w:rsidRDefault="00FA0209" w:rsidP="001270FB">
      <w:pPr>
        <w:pStyle w:val="af6"/>
        <w:spacing w:before="0" w:beforeAutospacing="0" w:after="0" w:afterAutospacing="0"/>
        <w:ind w:firstLine="567"/>
        <w:jc w:val="both"/>
        <w:rPr>
          <w:lang w:val="en-US"/>
        </w:rPr>
      </w:pPr>
    </w:p>
    <w:p w14:paraId="05EB20FF" w14:textId="77777777" w:rsidR="00A324C9" w:rsidRDefault="0007508B" w:rsidP="00A324C9">
      <w:pPr>
        <w:pStyle w:val="af6"/>
        <w:spacing w:before="0" w:beforeAutospacing="0" w:after="0" w:afterAutospacing="0"/>
        <w:jc w:val="right"/>
        <w:rPr>
          <w:b/>
          <w:lang w:val="en-US"/>
        </w:rPr>
      </w:pPr>
      <w:r w:rsidRPr="005A3244">
        <w:rPr>
          <w:b/>
          <w:lang w:val="en-US"/>
        </w:rPr>
        <w:t>Table 1</w:t>
      </w:r>
      <w:r w:rsidR="00B8685C" w:rsidRPr="005A3244">
        <w:rPr>
          <w:b/>
          <w:lang w:val="en-US"/>
        </w:rPr>
        <w:t xml:space="preserve">. </w:t>
      </w:r>
    </w:p>
    <w:p w14:paraId="3AB214EF" w14:textId="2E1F6825" w:rsidR="00B8685C" w:rsidRPr="005A3244" w:rsidRDefault="00B8685C" w:rsidP="008D4084">
      <w:pPr>
        <w:pStyle w:val="af6"/>
        <w:spacing w:before="0" w:beforeAutospacing="0" w:after="0" w:afterAutospacing="0"/>
        <w:jc w:val="center"/>
        <w:rPr>
          <w:b/>
          <w:lang w:val="en-US"/>
        </w:rPr>
      </w:pPr>
      <w:r w:rsidRPr="005A3244">
        <w:rPr>
          <w:b/>
          <w:lang w:val="en-US"/>
        </w:rPr>
        <w:t>Textural parameters derived from benzene vapor adsorption</w:t>
      </w:r>
    </w:p>
    <w:tbl>
      <w:tblPr>
        <w:tblStyle w:val="af"/>
        <w:tblW w:w="9500" w:type="dxa"/>
        <w:tblLook w:val="04A0" w:firstRow="1" w:lastRow="0" w:firstColumn="1" w:lastColumn="0" w:noHBand="0" w:noVBand="1"/>
      </w:tblPr>
      <w:tblGrid>
        <w:gridCol w:w="553"/>
        <w:gridCol w:w="2578"/>
        <w:gridCol w:w="1248"/>
        <w:gridCol w:w="1153"/>
        <w:gridCol w:w="1628"/>
        <w:gridCol w:w="1194"/>
        <w:gridCol w:w="1146"/>
      </w:tblGrid>
      <w:tr w:rsidR="001F20C1" w:rsidRPr="005A3244" w14:paraId="7D0EE25B" w14:textId="77777777" w:rsidTr="00A324C9">
        <w:trPr>
          <w:trHeight w:val="539"/>
        </w:trPr>
        <w:tc>
          <w:tcPr>
            <w:tcW w:w="0" w:type="auto"/>
            <w:vAlign w:val="center"/>
            <w:hideMark/>
          </w:tcPr>
          <w:p w14:paraId="75DCD9F2" w14:textId="1426C34F" w:rsidR="001F20C1" w:rsidRPr="00A324C9" w:rsidRDefault="00A324C9" w:rsidP="00A324C9">
            <w:pPr>
              <w:jc w:val="center"/>
              <w:rPr>
                <w:b/>
                <w:bCs/>
                <w:sz w:val="24"/>
                <w:szCs w:val="24"/>
                <w:lang w:val="uz-Cyrl-UZ" w:eastAsia="ru-RU"/>
              </w:rPr>
            </w:pPr>
            <w:r>
              <w:rPr>
                <w:b/>
                <w:bCs/>
                <w:sz w:val="24"/>
                <w:szCs w:val="24"/>
                <w:lang w:val="uz-Cyrl-UZ" w:eastAsia="ru-RU"/>
              </w:rPr>
              <w:t>№</w:t>
            </w:r>
          </w:p>
        </w:tc>
        <w:tc>
          <w:tcPr>
            <w:tcW w:w="0" w:type="auto"/>
            <w:vAlign w:val="center"/>
            <w:hideMark/>
          </w:tcPr>
          <w:p w14:paraId="34A20663" w14:textId="77777777" w:rsidR="001F20C1" w:rsidRPr="005A3244" w:rsidRDefault="001F20C1" w:rsidP="00A324C9">
            <w:pPr>
              <w:jc w:val="center"/>
              <w:rPr>
                <w:b/>
                <w:bCs/>
                <w:sz w:val="24"/>
                <w:szCs w:val="24"/>
                <w:lang w:val="ru-RU" w:eastAsia="ru-RU"/>
              </w:rPr>
            </w:pPr>
            <w:r w:rsidRPr="005A3244">
              <w:rPr>
                <w:b/>
                <w:bCs/>
                <w:sz w:val="24"/>
                <w:szCs w:val="24"/>
                <w:lang w:val="ru-RU" w:eastAsia="ru-RU"/>
              </w:rPr>
              <w:t>Sample</w:t>
            </w:r>
          </w:p>
        </w:tc>
        <w:tc>
          <w:tcPr>
            <w:tcW w:w="0" w:type="auto"/>
            <w:vAlign w:val="center"/>
            <w:hideMark/>
          </w:tcPr>
          <w:p w14:paraId="46DBC5FA" w14:textId="77777777" w:rsidR="001F20C1" w:rsidRPr="005A3244" w:rsidRDefault="001F20C1" w:rsidP="00A324C9">
            <w:pPr>
              <w:jc w:val="center"/>
              <w:rPr>
                <w:b/>
                <w:bCs/>
                <w:sz w:val="24"/>
                <w:szCs w:val="24"/>
                <w:lang w:val="ru-RU" w:eastAsia="ru-RU"/>
              </w:rPr>
            </w:pPr>
            <w:r w:rsidRPr="005A3244">
              <w:rPr>
                <w:b/>
                <w:bCs/>
                <w:sz w:val="24"/>
                <w:szCs w:val="24"/>
                <w:lang w:val="ru-RU" w:eastAsia="ru-RU"/>
              </w:rPr>
              <w:t>Xₘ (g/g)</w:t>
            </w:r>
          </w:p>
        </w:tc>
        <w:tc>
          <w:tcPr>
            <w:tcW w:w="0" w:type="auto"/>
            <w:vAlign w:val="center"/>
            <w:hideMark/>
          </w:tcPr>
          <w:p w14:paraId="7846E2A1" w14:textId="2E20903A" w:rsidR="001F20C1" w:rsidRPr="005A3244" w:rsidRDefault="001F20C1" w:rsidP="00A324C9">
            <w:pPr>
              <w:jc w:val="center"/>
              <w:rPr>
                <w:b/>
                <w:bCs/>
                <w:sz w:val="24"/>
                <w:szCs w:val="24"/>
                <w:lang w:val="ru-RU" w:eastAsia="ru-RU"/>
              </w:rPr>
            </w:pPr>
            <w:r w:rsidRPr="005A3244">
              <w:rPr>
                <w:b/>
                <w:bCs/>
                <w:sz w:val="24"/>
                <w:szCs w:val="24"/>
                <w:lang w:val="ru-RU" w:eastAsia="ru-RU"/>
              </w:rPr>
              <w:t>r</w:t>
            </w:r>
            <w:r w:rsidRPr="005A3244">
              <w:rPr>
                <w:b/>
                <w:bCs/>
                <w:sz w:val="24"/>
                <w:szCs w:val="24"/>
                <w:vertAlign w:val="subscript"/>
                <w:lang w:val="ru-RU" w:eastAsia="ru-RU"/>
              </w:rPr>
              <w:t>avg</w:t>
            </w:r>
            <w:r w:rsidRPr="005A3244">
              <w:rPr>
                <w:b/>
                <w:bCs/>
                <w:sz w:val="24"/>
                <w:szCs w:val="24"/>
                <w:lang w:val="ru-RU" w:eastAsia="ru-RU"/>
              </w:rPr>
              <w:t xml:space="preserve"> (Å)</w:t>
            </w:r>
          </w:p>
        </w:tc>
        <w:tc>
          <w:tcPr>
            <w:tcW w:w="0" w:type="auto"/>
            <w:vAlign w:val="center"/>
            <w:hideMark/>
          </w:tcPr>
          <w:p w14:paraId="52714062" w14:textId="5618118C" w:rsidR="001F20C1" w:rsidRPr="005A3244" w:rsidRDefault="001F20C1" w:rsidP="00A324C9">
            <w:pPr>
              <w:jc w:val="center"/>
              <w:rPr>
                <w:b/>
                <w:bCs/>
                <w:sz w:val="24"/>
                <w:szCs w:val="24"/>
                <w:lang w:val="ru-RU" w:eastAsia="ru-RU"/>
              </w:rPr>
            </w:pPr>
            <w:r w:rsidRPr="005A3244">
              <w:rPr>
                <w:b/>
                <w:bCs/>
                <w:sz w:val="24"/>
                <w:szCs w:val="24"/>
                <w:lang w:val="ru-RU" w:eastAsia="ru-RU"/>
              </w:rPr>
              <w:t>S</w:t>
            </w:r>
            <w:r w:rsidRPr="005A3244">
              <w:rPr>
                <w:b/>
                <w:bCs/>
                <w:sz w:val="24"/>
                <w:szCs w:val="24"/>
                <w:vertAlign w:val="subscript"/>
                <w:lang w:val="ru-RU" w:eastAsia="ru-RU"/>
              </w:rPr>
              <w:t>BET</w:t>
            </w:r>
            <w:r w:rsidRPr="005A3244">
              <w:rPr>
                <w:b/>
                <w:bCs/>
                <w:sz w:val="24"/>
                <w:szCs w:val="24"/>
                <w:lang w:val="ru-RU" w:eastAsia="ru-RU"/>
              </w:rPr>
              <w:t xml:space="preserve"> (m²/g)</w:t>
            </w:r>
          </w:p>
        </w:tc>
        <w:tc>
          <w:tcPr>
            <w:tcW w:w="0" w:type="auto"/>
            <w:vAlign w:val="center"/>
            <w:hideMark/>
          </w:tcPr>
          <w:p w14:paraId="33D8E6FC" w14:textId="50A2A89E" w:rsidR="001F20C1" w:rsidRPr="005A3244" w:rsidRDefault="001F20C1" w:rsidP="00A324C9">
            <w:pPr>
              <w:jc w:val="center"/>
              <w:rPr>
                <w:b/>
                <w:bCs/>
                <w:iCs/>
                <w:sz w:val="24"/>
                <w:szCs w:val="24"/>
              </w:rPr>
            </w:pPr>
            <m:oMathPara>
              <m:oMath>
                <m:r>
                  <m:rPr>
                    <m:sty m:val="bi"/>
                  </m:rPr>
                  <w:rPr>
                    <w:rFonts w:ascii="Cambria Math" w:hAnsi="Cambria Math"/>
                    <w:sz w:val="24"/>
                    <w:szCs w:val="24"/>
                  </w:rPr>
                  <m:t>-∆</m:t>
                </m:r>
                <m:sSubSup>
                  <m:sSubSupPr>
                    <m:ctrlPr>
                      <w:rPr>
                        <w:rFonts w:ascii="Cambria Math" w:hAnsi="Cambria Math"/>
                        <w:b/>
                        <w:bCs/>
                        <w:i/>
                        <w:iCs/>
                        <w:sz w:val="24"/>
                        <w:szCs w:val="24"/>
                      </w:rPr>
                    </m:ctrlPr>
                  </m:sSubSupPr>
                  <m:e>
                    <m:r>
                      <m:rPr>
                        <m:sty m:val="b"/>
                      </m:rPr>
                      <w:rPr>
                        <w:rFonts w:ascii="Cambria Math" w:hAnsi="Cambria Math"/>
                        <w:sz w:val="24"/>
                        <w:szCs w:val="24"/>
                      </w:rPr>
                      <m:t>g</m:t>
                    </m:r>
                  </m:e>
                  <m:sub>
                    <m:r>
                      <m:rPr>
                        <m:sty m:val="bi"/>
                      </m:rPr>
                      <w:rPr>
                        <w:rFonts w:ascii="Cambria Math" w:hAnsi="Cambria Math"/>
                        <w:sz w:val="24"/>
                        <w:szCs w:val="24"/>
                      </w:rPr>
                      <m:t>m</m:t>
                    </m:r>
                  </m:sub>
                  <m:sup>
                    <m:r>
                      <m:rPr>
                        <m:nor/>
                      </m:rPr>
                      <w:rPr>
                        <w:b/>
                        <w:i/>
                        <w:sz w:val="24"/>
                        <w:szCs w:val="24"/>
                        <w:lang w:val="en-US"/>
                      </w:rPr>
                      <m:t>max</m:t>
                    </m:r>
                  </m:sup>
                </m:sSubSup>
              </m:oMath>
            </m:oMathPara>
          </w:p>
          <w:p w14:paraId="5DBFE038" w14:textId="31520D67" w:rsidR="001F20C1" w:rsidRPr="005A3244" w:rsidRDefault="001F20C1" w:rsidP="00A324C9">
            <w:pPr>
              <w:jc w:val="center"/>
              <w:rPr>
                <w:b/>
                <w:bCs/>
                <w:sz w:val="24"/>
                <w:szCs w:val="24"/>
                <w:lang w:val="en-US" w:eastAsia="ru-RU"/>
              </w:rPr>
            </w:pPr>
            <w:r w:rsidRPr="005A3244">
              <w:rPr>
                <w:b/>
                <w:bCs/>
                <w:sz w:val="24"/>
                <w:szCs w:val="24"/>
                <w:lang w:val="en-US" w:eastAsia="ru-RU"/>
              </w:rPr>
              <w:t>(J/mol)</w:t>
            </w:r>
          </w:p>
        </w:tc>
        <w:tc>
          <w:tcPr>
            <w:tcW w:w="0" w:type="auto"/>
            <w:vAlign w:val="center"/>
            <w:hideMark/>
          </w:tcPr>
          <w:p w14:paraId="70F57A43" w14:textId="77777777" w:rsidR="001F20C1" w:rsidRPr="005A3244" w:rsidRDefault="001F20C1" w:rsidP="00A324C9">
            <w:pPr>
              <w:jc w:val="center"/>
              <w:rPr>
                <w:b/>
                <w:bCs/>
                <w:sz w:val="24"/>
                <w:szCs w:val="24"/>
                <w:lang w:val="ru-RU" w:eastAsia="ru-RU"/>
              </w:rPr>
            </w:pPr>
            <w:r w:rsidRPr="005A3244">
              <w:rPr>
                <w:b/>
                <w:bCs/>
                <w:sz w:val="24"/>
                <w:szCs w:val="24"/>
                <w:lang w:val="ru-RU" w:eastAsia="ru-RU"/>
              </w:rPr>
              <w:t>−ΔGᵢ</w:t>
            </w:r>
          </w:p>
          <w:p w14:paraId="25099E69" w14:textId="2711CD16" w:rsidR="001F20C1" w:rsidRPr="005A3244" w:rsidRDefault="001F20C1" w:rsidP="00A324C9">
            <w:pPr>
              <w:jc w:val="center"/>
              <w:rPr>
                <w:b/>
                <w:bCs/>
                <w:sz w:val="24"/>
                <w:szCs w:val="24"/>
                <w:lang w:val="ru-RU" w:eastAsia="ru-RU"/>
              </w:rPr>
            </w:pPr>
            <w:r w:rsidRPr="005A3244">
              <w:rPr>
                <w:b/>
                <w:bCs/>
                <w:sz w:val="24"/>
                <w:szCs w:val="24"/>
                <w:lang w:val="ru-RU" w:eastAsia="ru-RU"/>
              </w:rPr>
              <w:t>(J/mol)</w:t>
            </w:r>
          </w:p>
        </w:tc>
      </w:tr>
      <w:tr w:rsidR="001F20C1" w:rsidRPr="005A3244" w14:paraId="4B94DF0D" w14:textId="77777777" w:rsidTr="001F20C1">
        <w:trPr>
          <w:trHeight w:val="242"/>
        </w:trPr>
        <w:tc>
          <w:tcPr>
            <w:tcW w:w="0" w:type="auto"/>
            <w:hideMark/>
          </w:tcPr>
          <w:p w14:paraId="3F0EB073" w14:textId="77777777" w:rsidR="001F20C1" w:rsidRPr="005A3244" w:rsidRDefault="001F20C1" w:rsidP="00A324C9">
            <w:pPr>
              <w:jc w:val="center"/>
              <w:rPr>
                <w:sz w:val="24"/>
                <w:szCs w:val="24"/>
                <w:lang w:val="ru-RU" w:eastAsia="ru-RU"/>
              </w:rPr>
            </w:pPr>
            <w:r w:rsidRPr="005A3244">
              <w:rPr>
                <w:sz w:val="24"/>
                <w:szCs w:val="24"/>
                <w:lang w:val="ru-RU" w:eastAsia="ru-RU"/>
              </w:rPr>
              <w:t>1</w:t>
            </w:r>
          </w:p>
        </w:tc>
        <w:tc>
          <w:tcPr>
            <w:tcW w:w="0" w:type="auto"/>
            <w:hideMark/>
          </w:tcPr>
          <w:p w14:paraId="3193FB21" w14:textId="3DCA22AC" w:rsidR="001F20C1" w:rsidRPr="005A3244" w:rsidRDefault="001F20C1" w:rsidP="001F20C1">
            <w:pPr>
              <w:rPr>
                <w:sz w:val="24"/>
                <w:szCs w:val="24"/>
                <w:lang w:val="ru-RU" w:eastAsia="ru-RU"/>
              </w:rPr>
            </w:pPr>
            <w:r w:rsidRPr="005A3244">
              <w:rPr>
                <w:sz w:val="24"/>
                <w:szCs w:val="24"/>
                <w:lang w:val="ru-RU" w:eastAsia="ru-RU"/>
              </w:rPr>
              <w:t>PAN</w:t>
            </w:r>
          </w:p>
        </w:tc>
        <w:tc>
          <w:tcPr>
            <w:tcW w:w="0" w:type="auto"/>
            <w:hideMark/>
          </w:tcPr>
          <w:p w14:paraId="1515E22E" w14:textId="77777777" w:rsidR="001F20C1" w:rsidRPr="005A3244" w:rsidRDefault="001F20C1" w:rsidP="00A324C9">
            <w:pPr>
              <w:jc w:val="center"/>
              <w:rPr>
                <w:sz w:val="24"/>
                <w:szCs w:val="24"/>
                <w:lang w:val="ru-RU" w:eastAsia="ru-RU"/>
              </w:rPr>
            </w:pPr>
            <w:r w:rsidRPr="005A3244">
              <w:rPr>
                <w:sz w:val="24"/>
                <w:szCs w:val="24"/>
                <w:lang w:val="ru-RU" w:eastAsia="ru-RU"/>
              </w:rPr>
              <w:t>0.0027</w:t>
            </w:r>
          </w:p>
        </w:tc>
        <w:tc>
          <w:tcPr>
            <w:tcW w:w="0" w:type="auto"/>
            <w:hideMark/>
          </w:tcPr>
          <w:p w14:paraId="0392B33D" w14:textId="77777777" w:rsidR="001F20C1" w:rsidRPr="005A3244" w:rsidRDefault="001F20C1" w:rsidP="00A324C9">
            <w:pPr>
              <w:jc w:val="center"/>
              <w:rPr>
                <w:sz w:val="24"/>
                <w:szCs w:val="24"/>
                <w:lang w:val="ru-RU" w:eastAsia="ru-RU"/>
              </w:rPr>
            </w:pPr>
            <w:r w:rsidRPr="005A3244">
              <w:rPr>
                <w:sz w:val="24"/>
                <w:szCs w:val="24"/>
                <w:lang w:val="ru-RU" w:eastAsia="ru-RU"/>
              </w:rPr>
              <w:t>50.31</w:t>
            </w:r>
          </w:p>
        </w:tc>
        <w:tc>
          <w:tcPr>
            <w:tcW w:w="0" w:type="auto"/>
            <w:hideMark/>
          </w:tcPr>
          <w:p w14:paraId="2DF2EB4D" w14:textId="77777777" w:rsidR="001F20C1" w:rsidRPr="005A3244" w:rsidRDefault="001F20C1" w:rsidP="00A324C9">
            <w:pPr>
              <w:jc w:val="center"/>
              <w:rPr>
                <w:sz w:val="24"/>
                <w:szCs w:val="24"/>
                <w:lang w:val="ru-RU" w:eastAsia="ru-RU"/>
              </w:rPr>
            </w:pPr>
            <w:r w:rsidRPr="005A3244">
              <w:rPr>
                <w:sz w:val="24"/>
                <w:szCs w:val="24"/>
                <w:lang w:val="ru-RU" w:eastAsia="ru-RU"/>
              </w:rPr>
              <w:t>6.36</w:t>
            </w:r>
          </w:p>
        </w:tc>
        <w:tc>
          <w:tcPr>
            <w:tcW w:w="0" w:type="auto"/>
            <w:hideMark/>
          </w:tcPr>
          <w:p w14:paraId="5B39AF07" w14:textId="77777777" w:rsidR="001F20C1" w:rsidRPr="005A3244" w:rsidRDefault="001F20C1" w:rsidP="00A324C9">
            <w:pPr>
              <w:jc w:val="center"/>
              <w:rPr>
                <w:sz w:val="24"/>
                <w:szCs w:val="24"/>
                <w:lang w:val="ru-RU" w:eastAsia="ru-RU"/>
              </w:rPr>
            </w:pPr>
            <w:r w:rsidRPr="005A3244">
              <w:rPr>
                <w:sz w:val="24"/>
                <w:szCs w:val="24"/>
                <w:lang w:val="ru-RU" w:eastAsia="ru-RU"/>
              </w:rPr>
              <w:t>0.81</w:t>
            </w:r>
          </w:p>
        </w:tc>
        <w:tc>
          <w:tcPr>
            <w:tcW w:w="0" w:type="auto"/>
            <w:hideMark/>
          </w:tcPr>
          <w:p w14:paraId="4EFC9960" w14:textId="77777777" w:rsidR="001F20C1" w:rsidRPr="005A3244" w:rsidRDefault="001F20C1" w:rsidP="00A324C9">
            <w:pPr>
              <w:jc w:val="center"/>
              <w:rPr>
                <w:sz w:val="24"/>
                <w:szCs w:val="24"/>
                <w:lang w:val="ru-RU" w:eastAsia="ru-RU"/>
              </w:rPr>
            </w:pPr>
            <w:r w:rsidRPr="005A3244">
              <w:rPr>
                <w:sz w:val="24"/>
                <w:szCs w:val="24"/>
                <w:lang w:val="ru-RU" w:eastAsia="ru-RU"/>
              </w:rPr>
              <w:t>0.84</w:t>
            </w:r>
          </w:p>
        </w:tc>
      </w:tr>
      <w:tr w:rsidR="001F20C1" w:rsidRPr="005A3244" w14:paraId="09CEB867" w14:textId="77777777" w:rsidTr="001F20C1">
        <w:trPr>
          <w:trHeight w:val="242"/>
        </w:trPr>
        <w:tc>
          <w:tcPr>
            <w:tcW w:w="0" w:type="auto"/>
            <w:hideMark/>
          </w:tcPr>
          <w:p w14:paraId="293DD422" w14:textId="77777777" w:rsidR="001F20C1" w:rsidRPr="005A3244" w:rsidRDefault="001F20C1" w:rsidP="00A324C9">
            <w:pPr>
              <w:jc w:val="center"/>
              <w:rPr>
                <w:sz w:val="24"/>
                <w:szCs w:val="24"/>
                <w:lang w:val="ru-RU" w:eastAsia="ru-RU"/>
              </w:rPr>
            </w:pPr>
            <w:r w:rsidRPr="005A3244">
              <w:rPr>
                <w:sz w:val="24"/>
                <w:szCs w:val="24"/>
                <w:lang w:val="ru-RU" w:eastAsia="ru-RU"/>
              </w:rPr>
              <w:t>2</w:t>
            </w:r>
          </w:p>
        </w:tc>
        <w:tc>
          <w:tcPr>
            <w:tcW w:w="0" w:type="auto"/>
            <w:hideMark/>
          </w:tcPr>
          <w:p w14:paraId="43FFF118" w14:textId="7EB66394" w:rsidR="001F20C1" w:rsidRPr="005A3244" w:rsidRDefault="001F20C1" w:rsidP="001F20C1">
            <w:pPr>
              <w:rPr>
                <w:sz w:val="24"/>
                <w:szCs w:val="24"/>
                <w:lang w:val="ru-RU" w:eastAsia="ru-RU"/>
              </w:rPr>
            </w:pPr>
            <w:r w:rsidRPr="005A3244">
              <w:rPr>
                <w:sz w:val="24"/>
                <w:szCs w:val="24"/>
                <w:lang w:val="ru-RU" w:eastAsia="ru-RU"/>
              </w:rPr>
              <w:t>SiO₂</w:t>
            </w:r>
          </w:p>
        </w:tc>
        <w:tc>
          <w:tcPr>
            <w:tcW w:w="0" w:type="auto"/>
            <w:hideMark/>
          </w:tcPr>
          <w:p w14:paraId="4CD11044" w14:textId="77777777" w:rsidR="001F20C1" w:rsidRPr="005A3244" w:rsidRDefault="001F20C1" w:rsidP="00A324C9">
            <w:pPr>
              <w:jc w:val="center"/>
              <w:rPr>
                <w:sz w:val="24"/>
                <w:szCs w:val="24"/>
                <w:lang w:val="ru-RU" w:eastAsia="ru-RU"/>
              </w:rPr>
            </w:pPr>
            <w:r w:rsidRPr="005A3244">
              <w:rPr>
                <w:sz w:val="24"/>
                <w:szCs w:val="24"/>
                <w:lang w:val="ru-RU" w:eastAsia="ru-RU"/>
              </w:rPr>
              <w:t>0.0066</w:t>
            </w:r>
          </w:p>
        </w:tc>
        <w:tc>
          <w:tcPr>
            <w:tcW w:w="0" w:type="auto"/>
            <w:hideMark/>
          </w:tcPr>
          <w:p w14:paraId="0B69E5C9" w14:textId="77777777" w:rsidR="001F20C1" w:rsidRPr="005A3244" w:rsidRDefault="001F20C1" w:rsidP="00A324C9">
            <w:pPr>
              <w:jc w:val="center"/>
              <w:rPr>
                <w:sz w:val="24"/>
                <w:szCs w:val="24"/>
                <w:lang w:val="ru-RU" w:eastAsia="ru-RU"/>
              </w:rPr>
            </w:pPr>
            <w:r w:rsidRPr="005A3244">
              <w:rPr>
                <w:sz w:val="24"/>
                <w:szCs w:val="24"/>
                <w:lang w:val="ru-RU" w:eastAsia="ru-RU"/>
              </w:rPr>
              <w:t>202.70</w:t>
            </w:r>
          </w:p>
        </w:tc>
        <w:tc>
          <w:tcPr>
            <w:tcW w:w="0" w:type="auto"/>
            <w:hideMark/>
          </w:tcPr>
          <w:p w14:paraId="78A104C4" w14:textId="77777777" w:rsidR="001F20C1" w:rsidRPr="005A3244" w:rsidRDefault="001F20C1" w:rsidP="00A324C9">
            <w:pPr>
              <w:jc w:val="center"/>
              <w:rPr>
                <w:sz w:val="24"/>
                <w:szCs w:val="24"/>
                <w:lang w:val="ru-RU" w:eastAsia="ru-RU"/>
              </w:rPr>
            </w:pPr>
            <w:r w:rsidRPr="005A3244">
              <w:rPr>
                <w:sz w:val="24"/>
                <w:szCs w:val="24"/>
                <w:lang w:val="ru-RU" w:eastAsia="ru-RU"/>
              </w:rPr>
              <w:t>15.54</w:t>
            </w:r>
          </w:p>
        </w:tc>
        <w:tc>
          <w:tcPr>
            <w:tcW w:w="0" w:type="auto"/>
            <w:hideMark/>
          </w:tcPr>
          <w:p w14:paraId="5440CE9C" w14:textId="77777777" w:rsidR="001F20C1" w:rsidRPr="005A3244" w:rsidRDefault="001F20C1" w:rsidP="00A324C9">
            <w:pPr>
              <w:jc w:val="center"/>
              <w:rPr>
                <w:sz w:val="24"/>
                <w:szCs w:val="24"/>
                <w:lang w:val="ru-RU" w:eastAsia="ru-RU"/>
              </w:rPr>
            </w:pPr>
            <w:r w:rsidRPr="005A3244">
              <w:rPr>
                <w:sz w:val="24"/>
                <w:szCs w:val="24"/>
                <w:lang w:val="ru-RU" w:eastAsia="ru-RU"/>
              </w:rPr>
              <w:t>2.25</w:t>
            </w:r>
          </w:p>
        </w:tc>
        <w:tc>
          <w:tcPr>
            <w:tcW w:w="0" w:type="auto"/>
            <w:hideMark/>
          </w:tcPr>
          <w:p w14:paraId="554316CE" w14:textId="77777777" w:rsidR="001F20C1" w:rsidRPr="005A3244" w:rsidRDefault="001F20C1" w:rsidP="00A324C9">
            <w:pPr>
              <w:jc w:val="center"/>
              <w:rPr>
                <w:sz w:val="24"/>
                <w:szCs w:val="24"/>
                <w:lang w:val="ru-RU" w:eastAsia="ru-RU"/>
              </w:rPr>
            </w:pPr>
            <w:r w:rsidRPr="005A3244">
              <w:rPr>
                <w:sz w:val="24"/>
                <w:szCs w:val="24"/>
                <w:lang w:val="ru-RU" w:eastAsia="ru-RU"/>
              </w:rPr>
              <w:t>2.81</w:t>
            </w:r>
          </w:p>
        </w:tc>
      </w:tr>
      <w:tr w:rsidR="001F20C1" w:rsidRPr="005A3244" w14:paraId="2F43E4FB" w14:textId="77777777" w:rsidTr="001F20C1">
        <w:trPr>
          <w:trHeight w:val="250"/>
        </w:trPr>
        <w:tc>
          <w:tcPr>
            <w:tcW w:w="0" w:type="auto"/>
            <w:hideMark/>
          </w:tcPr>
          <w:p w14:paraId="5A84F98B" w14:textId="77777777" w:rsidR="001F20C1" w:rsidRPr="005A3244" w:rsidRDefault="001F20C1" w:rsidP="00A324C9">
            <w:pPr>
              <w:jc w:val="center"/>
              <w:rPr>
                <w:sz w:val="24"/>
                <w:szCs w:val="24"/>
                <w:lang w:val="ru-RU" w:eastAsia="ru-RU"/>
              </w:rPr>
            </w:pPr>
            <w:r w:rsidRPr="005A3244">
              <w:rPr>
                <w:sz w:val="24"/>
                <w:szCs w:val="24"/>
                <w:lang w:val="ru-RU" w:eastAsia="ru-RU"/>
              </w:rPr>
              <w:t>3</w:t>
            </w:r>
          </w:p>
        </w:tc>
        <w:tc>
          <w:tcPr>
            <w:tcW w:w="0" w:type="auto"/>
            <w:hideMark/>
          </w:tcPr>
          <w:p w14:paraId="3A663731" w14:textId="77777777" w:rsidR="001F20C1" w:rsidRPr="005A3244" w:rsidRDefault="001F20C1" w:rsidP="001F20C1">
            <w:pPr>
              <w:rPr>
                <w:sz w:val="24"/>
                <w:szCs w:val="24"/>
                <w:lang w:val="ru-RU" w:eastAsia="ru-RU"/>
              </w:rPr>
            </w:pPr>
            <w:r w:rsidRPr="005A3244">
              <w:rPr>
                <w:sz w:val="24"/>
                <w:szCs w:val="24"/>
                <w:lang w:val="ru-RU" w:eastAsia="ru-RU"/>
              </w:rPr>
              <w:t>PAN–SiO₂ (1:1)</w:t>
            </w:r>
          </w:p>
        </w:tc>
        <w:tc>
          <w:tcPr>
            <w:tcW w:w="0" w:type="auto"/>
            <w:hideMark/>
          </w:tcPr>
          <w:p w14:paraId="7E6029A4" w14:textId="77777777" w:rsidR="001F20C1" w:rsidRPr="005A3244" w:rsidRDefault="001F20C1" w:rsidP="00A324C9">
            <w:pPr>
              <w:jc w:val="center"/>
              <w:rPr>
                <w:sz w:val="24"/>
                <w:szCs w:val="24"/>
                <w:lang w:val="ru-RU" w:eastAsia="ru-RU"/>
              </w:rPr>
            </w:pPr>
            <w:r w:rsidRPr="005A3244">
              <w:rPr>
                <w:sz w:val="24"/>
                <w:szCs w:val="24"/>
                <w:lang w:val="ru-RU" w:eastAsia="ru-RU"/>
              </w:rPr>
              <w:t>0.0044</w:t>
            </w:r>
          </w:p>
        </w:tc>
        <w:tc>
          <w:tcPr>
            <w:tcW w:w="0" w:type="auto"/>
            <w:hideMark/>
          </w:tcPr>
          <w:p w14:paraId="4A2A666C" w14:textId="77777777" w:rsidR="001F20C1" w:rsidRPr="005A3244" w:rsidRDefault="001F20C1" w:rsidP="00A324C9">
            <w:pPr>
              <w:jc w:val="center"/>
              <w:rPr>
                <w:sz w:val="24"/>
                <w:szCs w:val="24"/>
                <w:lang w:val="ru-RU" w:eastAsia="ru-RU"/>
              </w:rPr>
            </w:pPr>
            <w:r w:rsidRPr="005A3244">
              <w:rPr>
                <w:sz w:val="24"/>
                <w:szCs w:val="24"/>
                <w:lang w:val="ru-RU" w:eastAsia="ru-RU"/>
              </w:rPr>
              <w:t>136.68</w:t>
            </w:r>
          </w:p>
        </w:tc>
        <w:tc>
          <w:tcPr>
            <w:tcW w:w="0" w:type="auto"/>
            <w:hideMark/>
          </w:tcPr>
          <w:p w14:paraId="57A82229" w14:textId="77777777" w:rsidR="001F20C1" w:rsidRPr="005A3244" w:rsidRDefault="001F20C1" w:rsidP="00A324C9">
            <w:pPr>
              <w:jc w:val="center"/>
              <w:rPr>
                <w:sz w:val="24"/>
                <w:szCs w:val="24"/>
                <w:lang w:val="ru-RU" w:eastAsia="ru-RU"/>
              </w:rPr>
            </w:pPr>
            <w:r w:rsidRPr="005A3244">
              <w:rPr>
                <w:sz w:val="24"/>
                <w:szCs w:val="24"/>
                <w:lang w:val="ru-RU" w:eastAsia="ru-RU"/>
              </w:rPr>
              <w:t>10.36</w:t>
            </w:r>
          </w:p>
        </w:tc>
        <w:tc>
          <w:tcPr>
            <w:tcW w:w="0" w:type="auto"/>
            <w:hideMark/>
          </w:tcPr>
          <w:p w14:paraId="6833726F" w14:textId="77777777" w:rsidR="001F20C1" w:rsidRPr="005A3244" w:rsidRDefault="001F20C1" w:rsidP="00A324C9">
            <w:pPr>
              <w:jc w:val="center"/>
              <w:rPr>
                <w:sz w:val="24"/>
                <w:szCs w:val="24"/>
                <w:lang w:val="ru-RU" w:eastAsia="ru-RU"/>
              </w:rPr>
            </w:pPr>
            <w:r w:rsidRPr="005A3244">
              <w:rPr>
                <w:sz w:val="24"/>
                <w:szCs w:val="24"/>
                <w:lang w:val="ru-RU" w:eastAsia="ru-RU"/>
              </w:rPr>
              <w:t>0.69</w:t>
            </w:r>
          </w:p>
        </w:tc>
        <w:tc>
          <w:tcPr>
            <w:tcW w:w="0" w:type="auto"/>
            <w:hideMark/>
          </w:tcPr>
          <w:p w14:paraId="18B9E99D" w14:textId="77777777" w:rsidR="001F20C1" w:rsidRPr="005A3244" w:rsidRDefault="001F20C1" w:rsidP="00A324C9">
            <w:pPr>
              <w:jc w:val="center"/>
              <w:rPr>
                <w:sz w:val="24"/>
                <w:szCs w:val="24"/>
                <w:lang w:val="ru-RU" w:eastAsia="ru-RU"/>
              </w:rPr>
            </w:pPr>
            <w:r w:rsidRPr="005A3244">
              <w:rPr>
                <w:sz w:val="24"/>
                <w:szCs w:val="24"/>
                <w:lang w:val="ru-RU" w:eastAsia="ru-RU"/>
              </w:rPr>
              <w:t>0.75</w:t>
            </w:r>
          </w:p>
        </w:tc>
      </w:tr>
      <w:tr w:rsidR="001F20C1" w:rsidRPr="005A3244" w14:paraId="7059650D" w14:textId="77777777" w:rsidTr="001F20C1">
        <w:trPr>
          <w:trHeight w:val="242"/>
        </w:trPr>
        <w:tc>
          <w:tcPr>
            <w:tcW w:w="0" w:type="auto"/>
            <w:hideMark/>
          </w:tcPr>
          <w:p w14:paraId="5AB44CD2" w14:textId="77777777" w:rsidR="001F20C1" w:rsidRPr="005A3244" w:rsidRDefault="001F20C1" w:rsidP="00A324C9">
            <w:pPr>
              <w:jc w:val="center"/>
              <w:rPr>
                <w:sz w:val="24"/>
                <w:szCs w:val="24"/>
                <w:lang w:val="ru-RU" w:eastAsia="ru-RU"/>
              </w:rPr>
            </w:pPr>
            <w:r w:rsidRPr="005A3244">
              <w:rPr>
                <w:sz w:val="24"/>
                <w:szCs w:val="24"/>
                <w:lang w:val="ru-RU" w:eastAsia="ru-RU"/>
              </w:rPr>
              <w:t>4</w:t>
            </w:r>
          </w:p>
        </w:tc>
        <w:tc>
          <w:tcPr>
            <w:tcW w:w="0" w:type="auto"/>
            <w:hideMark/>
          </w:tcPr>
          <w:p w14:paraId="51F3F3BF" w14:textId="77777777" w:rsidR="001F20C1" w:rsidRPr="005A3244" w:rsidRDefault="001F20C1" w:rsidP="001F20C1">
            <w:pPr>
              <w:rPr>
                <w:sz w:val="24"/>
                <w:szCs w:val="24"/>
                <w:lang w:val="ru-RU" w:eastAsia="ru-RU"/>
              </w:rPr>
            </w:pPr>
            <w:r w:rsidRPr="005A3244">
              <w:rPr>
                <w:sz w:val="24"/>
                <w:szCs w:val="24"/>
                <w:lang w:val="ru-RU" w:eastAsia="ru-RU"/>
              </w:rPr>
              <w:t>PAN–SiO₂ (1:2)</w:t>
            </w:r>
          </w:p>
        </w:tc>
        <w:tc>
          <w:tcPr>
            <w:tcW w:w="0" w:type="auto"/>
            <w:hideMark/>
          </w:tcPr>
          <w:p w14:paraId="16DACFF7" w14:textId="77777777" w:rsidR="001F20C1" w:rsidRPr="005A3244" w:rsidRDefault="001F20C1" w:rsidP="00A324C9">
            <w:pPr>
              <w:jc w:val="center"/>
              <w:rPr>
                <w:sz w:val="24"/>
                <w:szCs w:val="24"/>
                <w:lang w:val="ru-RU" w:eastAsia="ru-RU"/>
              </w:rPr>
            </w:pPr>
            <w:r w:rsidRPr="005A3244">
              <w:rPr>
                <w:sz w:val="24"/>
                <w:szCs w:val="24"/>
                <w:lang w:val="ru-RU" w:eastAsia="ru-RU"/>
              </w:rPr>
              <w:t>0.0058</w:t>
            </w:r>
          </w:p>
        </w:tc>
        <w:tc>
          <w:tcPr>
            <w:tcW w:w="0" w:type="auto"/>
            <w:hideMark/>
          </w:tcPr>
          <w:p w14:paraId="6368E795" w14:textId="77777777" w:rsidR="001F20C1" w:rsidRPr="005A3244" w:rsidRDefault="001F20C1" w:rsidP="00A324C9">
            <w:pPr>
              <w:jc w:val="center"/>
              <w:rPr>
                <w:sz w:val="24"/>
                <w:szCs w:val="24"/>
                <w:lang w:val="ru-RU" w:eastAsia="ru-RU"/>
              </w:rPr>
            </w:pPr>
            <w:r w:rsidRPr="005A3244">
              <w:rPr>
                <w:sz w:val="24"/>
                <w:szCs w:val="24"/>
                <w:lang w:val="ru-RU" w:eastAsia="ru-RU"/>
              </w:rPr>
              <w:t>103.74</w:t>
            </w:r>
          </w:p>
        </w:tc>
        <w:tc>
          <w:tcPr>
            <w:tcW w:w="0" w:type="auto"/>
            <w:hideMark/>
          </w:tcPr>
          <w:p w14:paraId="4A892974" w14:textId="77777777" w:rsidR="001F20C1" w:rsidRPr="005A3244" w:rsidRDefault="001F20C1" w:rsidP="00A324C9">
            <w:pPr>
              <w:jc w:val="center"/>
              <w:rPr>
                <w:sz w:val="24"/>
                <w:szCs w:val="24"/>
                <w:lang w:val="ru-RU" w:eastAsia="ru-RU"/>
              </w:rPr>
            </w:pPr>
            <w:r w:rsidRPr="005A3244">
              <w:rPr>
                <w:sz w:val="24"/>
                <w:szCs w:val="24"/>
                <w:lang w:val="ru-RU" w:eastAsia="ru-RU"/>
              </w:rPr>
              <w:t>13.65</w:t>
            </w:r>
          </w:p>
        </w:tc>
        <w:tc>
          <w:tcPr>
            <w:tcW w:w="0" w:type="auto"/>
            <w:hideMark/>
          </w:tcPr>
          <w:p w14:paraId="0B081751" w14:textId="77777777" w:rsidR="001F20C1" w:rsidRPr="005A3244" w:rsidRDefault="001F20C1" w:rsidP="00A324C9">
            <w:pPr>
              <w:jc w:val="center"/>
              <w:rPr>
                <w:sz w:val="24"/>
                <w:szCs w:val="24"/>
                <w:lang w:val="ru-RU" w:eastAsia="ru-RU"/>
              </w:rPr>
            </w:pPr>
            <w:r w:rsidRPr="005A3244">
              <w:rPr>
                <w:sz w:val="24"/>
                <w:szCs w:val="24"/>
                <w:lang w:val="ru-RU" w:eastAsia="ru-RU"/>
              </w:rPr>
              <w:t>1.07</w:t>
            </w:r>
          </w:p>
        </w:tc>
        <w:tc>
          <w:tcPr>
            <w:tcW w:w="0" w:type="auto"/>
            <w:hideMark/>
          </w:tcPr>
          <w:p w14:paraId="50733F8A" w14:textId="77777777" w:rsidR="001F20C1" w:rsidRPr="005A3244" w:rsidRDefault="001F20C1" w:rsidP="00A324C9">
            <w:pPr>
              <w:jc w:val="center"/>
              <w:rPr>
                <w:sz w:val="24"/>
                <w:szCs w:val="24"/>
                <w:lang w:val="ru-RU" w:eastAsia="ru-RU"/>
              </w:rPr>
            </w:pPr>
            <w:r w:rsidRPr="005A3244">
              <w:rPr>
                <w:sz w:val="24"/>
                <w:szCs w:val="24"/>
                <w:lang w:val="ru-RU" w:eastAsia="ru-RU"/>
              </w:rPr>
              <w:t>1.17</w:t>
            </w:r>
          </w:p>
        </w:tc>
      </w:tr>
      <w:tr w:rsidR="001F20C1" w:rsidRPr="005A3244" w14:paraId="5683F926" w14:textId="77777777" w:rsidTr="001F20C1">
        <w:trPr>
          <w:trHeight w:val="242"/>
        </w:trPr>
        <w:tc>
          <w:tcPr>
            <w:tcW w:w="0" w:type="auto"/>
            <w:hideMark/>
          </w:tcPr>
          <w:p w14:paraId="30868E59" w14:textId="77777777" w:rsidR="001F20C1" w:rsidRPr="005A3244" w:rsidRDefault="001F20C1" w:rsidP="00A324C9">
            <w:pPr>
              <w:jc w:val="center"/>
              <w:rPr>
                <w:sz w:val="24"/>
                <w:szCs w:val="24"/>
                <w:lang w:val="ru-RU" w:eastAsia="ru-RU"/>
              </w:rPr>
            </w:pPr>
            <w:r w:rsidRPr="005A3244">
              <w:rPr>
                <w:sz w:val="24"/>
                <w:szCs w:val="24"/>
                <w:lang w:val="ru-RU" w:eastAsia="ru-RU"/>
              </w:rPr>
              <w:t>5</w:t>
            </w:r>
          </w:p>
        </w:tc>
        <w:tc>
          <w:tcPr>
            <w:tcW w:w="0" w:type="auto"/>
            <w:hideMark/>
          </w:tcPr>
          <w:p w14:paraId="350FB217" w14:textId="77777777" w:rsidR="001F20C1" w:rsidRPr="005A3244" w:rsidRDefault="001F20C1" w:rsidP="001F20C1">
            <w:pPr>
              <w:rPr>
                <w:sz w:val="24"/>
                <w:szCs w:val="24"/>
                <w:lang w:val="ru-RU" w:eastAsia="ru-RU"/>
              </w:rPr>
            </w:pPr>
            <w:r w:rsidRPr="005A3244">
              <w:rPr>
                <w:sz w:val="24"/>
                <w:szCs w:val="24"/>
                <w:lang w:val="ru-RU" w:eastAsia="ru-RU"/>
              </w:rPr>
              <w:t>PAN–SiO₂ (1:3)</w:t>
            </w:r>
          </w:p>
        </w:tc>
        <w:tc>
          <w:tcPr>
            <w:tcW w:w="0" w:type="auto"/>
            <w:hideMark/>
          </w:tcPr>
          <w:p w14:paraId="362FFA51" w14:textId="77777777" w:rsidR="001F20C1" w:rsidRPr="005A3244" w:rsidRDefault="001F20C1" w:rsidP="00A324C9">
            <w:pPr>
              <w:jc w:val="center"/>
              <w:rPr>
                <w:sz w:val="24"/>
                <w:szCs w:val="24"/>
                <w:lang w:val="ru-RU" w:eastAsia="ru-RU"/>
              </w:rPr>
            </w:pPr>
            <w:r w:rsidRPr="005A3244">
              <w:rPr>
                <w:bCs/>
                <w:sz w:val="24"/>
                <w:szCs w:val="24"/>
                <w:lang w:val="ru-RU" w:eastAsia="ru-RU"/>
              </w:rPr>
              <w:t>0.0085</w:t>
            </w:r>
          </w:p>
        </w:tc>
        <w:tc>
          <w:tcPr>
            <w:tcW w:w="0" w:type="auto"/>
            <w:hideMark/>
          </w:tcPr>
          <w:p w14:paraId="69A2C6B9" w14:textId="77777777" w:rsidR="001F20C1" w:rsidRPr="005A3244" w:rsidRDefault="001F20C1" w:rsidP="00A324C9">
            <w:pPr>
              <w:jc w:val="center"/>
              <w:rPr>
                <w:sz w:val="24"/>
                <w:szCs w:val="24"/>
                <w:lang w:val="ru-RU" w:eastAsia="ru-RU"/>
              </w:rPr>
            </w:pPr>
            <w:r w:rsidRPr="005A3244">
              <w:rPr>
                <w:bCs/>
                <w:sz w:val="24"/>
                <w:szCs w:val="24"/>
                <w:lang w:val="ru-RU" w:eastAsia="ru-RU"/>
              </w:rPr>
              <w:t>186.01</w:t>
            </w:r>
          </w:p>
        </w:tc>
        <w:tc>
          <w:tcPr>
            <w:tcW w:w="0" w:type="auto"/>
            <w:hideMark/>
          </w:tcPr>
          <w:p w14:paraId="24AE841F" w14:textId="77777777" w:rsidR="001F20C1" w:rsidRPr="005A3244" w:rsidRDefault="001F20C1" w:rsidP="00A324C9">
            <w:pPr>
              <w:jc w:val="center"/>
              <w:rPr>
                <w:sz w:val="24"/>
                <w:szCs w:val="24"/>
                <w:lang w:val="ru-RU" w:eastAsia="ru-RU"/>
              </w:rPr>
            </w:pPr>
            <w:r w:rsidRPr="005A3244">
              <w:rPr>
                <w:bCs/>
                <w:sz w:val="24"/>
                <w:szCs w:val="24"/>
                <w:lang w:val="ru-RU" w:eastAsia="ru-RU"/>
              </w:rPr>
              <w:t>20.01</w:t>
            </w:r>
          </w:p>
        </w:tc>
        <w:tc>
          <w:tcPr>
            <w:tcW w:w="0" w:type="auto"/>
            <w:hideMark/>
          </w:tcPr>
          <w:p w14:paraId="560F55BA" w14:textId="77777777" w:rsidR="001F20C1" w:rsidRPr="005A3244" w:rsidRDefault="001F20C1" w:rsidP="00A324C9">
            <w:pPr>
              <w:jc w:val="center"/>
              <w:rPr>
                <w:sz w:val="24"/>
                <w:szCs w:val="24"/>
                <w:lang w:val="ru-RU" w:eastAsia="ru-RU"/>
              </w:rPr>
            </w:pPr>
            <w:r w:rsidRPr="005A3244">
              <w:rPr>
                <w:bCs/>
                <w:sz w:val="24"/>
                <w:szCs w:val="24"/>
                <w:lang w:val="ru-RU" w:eastAsia="ru-RU"/>
              </w:rPr>
              <w:t>2.47</w:t>
            </w:r>
          </w:p>
        </w:tc>
        <w:tc>
          <w:tcPr>
            <w:tcW w:w="0" w:type="auto"/>
            <w:hideMark/>
          </w:tcPr>
          <w:p w14:paraId="2558B0D1" w14:textId="77777777" w:rsidR="001F20C1" w:rsidRPr="005A3244" w:rsidRDefault="001F20C1" w:rsidP="00A324C9">
            <w:pPr>
              <w:jc w:val="center"/>
              <w:rPr>
                <w:sz w:val="24"/>
                <w:szCs w:val="24"/>
                <w:lang w:val="ru-RU" w:eastAsia="ru-RU"/>
              </w:rPr>
            </w:pPr>
            <w:r w:rsidRPr="005A3244">
              <w:rPr>
                <w:bCs/>
                <w:sz w:val="24"/>
                <w:szCs w:val="24"/>
                <w:lang w:val="ru-RU" w:eastAsia="ru-RU"/>
              </w:rPr>
              <w:t>2.30</w:t>
            </w:r>
          </w:p>
        </w:tc>
      </w:tr>
      <w:tr w:rsidR="001F20C1" w:rsidRPr="005A3244" w14:paraId="3A0DC40A" w14:textId="77777777" w:rsidTr="001F20C1">
        <w:trPr>
          <w:trHeight w:val="250"/>
        </w:trPr>
        <w:tc>
          <w:tcPr>
            <w:tcW w:w="0" w:type="auto"/>
            <w:hideMark/>
          </w:tcPr>
          <w:p w14:paraId="1FF9FBA0" w14:textId="77777777" w:rsidR="001F20C1" w:rsidRPr="005A3244" w:rsidRDefault="001F20C1" w:rsidP="00A324C9">
            <w:pPr>
              <w:jc w:val="center"/>
              <w:rPr>
                <w:sz w:val="24"/>
                <w:szCs w:val="24"/>
                <w:lang w:val="ru-RU" w:eastAsia="ru-RU"/>
              </w:rPr>
            </w:pPr>
            <w:r w:rsidRPr="005A3244">
              <w:rPr>
                <w:sz w:val="24"/>
                <w:szCs w:val="24"/>
                <w:lang w:val="ru-RU" w:eastAsia="ru-RU"/>
              </w:rPr>
              <w:t>6</w:t>
            </w:r>
          </w:p>
        </w:tc>
        <w:tc>
          <w:tcPr>
            <w:tcW w:w="0" w:type="auto"/>
            <w:hideMark/>
          </w:tcPr>
          <w:p w14:paraId="5436F447" w14:textId="77777777" w:rsidR="001F20C1" w:rsidRPr="005A3244" w:rsidRDefault="001F20C1" w:rsidP="001F20C1">
            <w:pPr>
              <w:rPr>
                <w:sz w:val="24"/>
                <w:szCs w:val="24"/>
                <w:lang w:val="ru-RU" w:eastAsia="ru-RU"/>
              </w:rPr>
            </w:pPr>
            <w:r w:rsidRPr="005A3244">
              <w:rPr>
                <w:sz w:val="24"/>
                <w:szCs w:val="24"/>
                <w:lang w:val="ru-RU" w:eastAsia="ru-RU"/>
              </w:rPr>
              <w:t>PAN–SiO₂ (1:4)</w:t>
            </w:r>
          </w:p>
        </w:tc>
        <w:tc>
          <w:tcPr>
            <w:tcW w:w="0" w:type="auto"/>
            <w:hideMark/>
          </w:tcPr>
          <w:p w14:paraId="5B4628C0" w14:textId="77777777" w:rsidR="001F20C1" w:rsidRPr="005A3244" w:rsidRDefault="001F20C1" w:rsidP="00A324C9">
            <w:pPr>
              <w:jc w:val="center"/>
              <w:rPr>
                <w:sz w:val="24"/>
                <w:szCs w:val="24"/>
                <w:lang w:val="ru-RU" w:eastAsia="ru-RU"/>
              </w:rPr>
            </w:pPr>
            <w:r w:rsidRPr="005A3244">
              <w:rPr>
                <w:sz w:val="24"/>
                <w:szCs w:val="24"/>
                <w:lang w:val="ru-RU" w:eastAsia="ru-RU"/>
              </w:rPr>
              <w:t>0.0080</w:t>
            </w:r>
          </w:p>
        </w:tc>
        <w:tc>
          <w:tcPr>
            <w:tcW w:w="0" w:type="auto"/>
            <w:hideMark/>
          </w:tcPr>
          <w:p w14:paraId="2D96293D" w14:textId="77777777" w:rsidR="001F20C1" w:rsidRPr="005A3244" w:rsidRDefault="001F20C1" w:rsidP="00A324C9">
            <w:pPr>
              <w:jc w:val="center"/>
              <w:rPr>
                <w:sz w:val="24"/>
                <w:szCs w:val="24"/>
                <w:lang w:val="ru-RU" w:eastAsia="ru-RU"/>
              </w:rPr>
            </w:pPr>
            <w:r w:rsidRPr="005A3244">
              <w:rPr>
                <w:sz w:val="24"/>
                <w:szCs w:val="24"/>
                <w:lang w:val="ru-RU" w:eastAsia="ru-RU"/>
              </w:rPr>
              <w:t>128.52</w:t>
            </w:r>
          </w:p>
        </w:tc>
        <w:tc>
          <w:tcPr>
            <w:tcW w:w="0" w:type="auto"/>
            <w:hideMark/>
          </w:tcPr>
          <w:p w14:paraId="74B8DAAE" w14:textId="77777777" w:rsidR="001F20C1" w:rsidRPr="005A3244" w:rsidRDefault="001F20C1" w:rsidP="00A324C9">
            <w:pPr>
              <w:jc w:val="center"/>
              <w:rPr>
                <w:sz w:val="24"/>
                <w:szCs w:val="24"/>
                <w:lang w:val="ru-RU" w:eastAsia="ru-RU"/>
              </w:rPr>
            </w:pPr>
            <w:r w:rsidRPr="005A3244">
              <w:rPr>
                <w:sz w:val="24"/>
                <w:szCs w:val="24"/>
                <w:lang w:val="ru-RU" w:eastAsia="ru-RU"/>
              </w:rPr>
              <w:t>18.83</w:t>
            </w:r>
          </w:p>
        </w:tc>
        <w:tc>
          <w:tcPr>
            <w:tcW w:w="0" w:type="auto"/>
            <w:hideMark/>
          </w:tcPr>
          <w:p w14:paraId="72AA3706" w14:textId="77777777" w:rsidR="001F20C1" w:rsidRPr="005A3244" w:rsidRDefault="001F20C1" w:rsidP="00A324C9">
            <w:pPr>
              <w:jc w:val="center"/>
              <w:rPr>
                <w:sz w:val="24"/>
                <w:szCs w:val="24"/>
                <w:lang w:val="ru-RU" w:eastAsia="ru-RU"/>
              </w:rPr>
            </w:pPr>
            <w:r w:rsidRPr="005A3244">
              <w:rPr>
                <w:sz w:val="24"/>
                <w:szCs w:val="24"/>
                <w:lang w:val="ru-RU" w:eastAsia="ru-RU"/>
              </w:rPr>
              <w:t>1.75</w:t>
            </w:r>
          </w:p>
        </w:tc>
        <w:tc>
          <w:tcPr>
            <w:tcW w:w="0" w:type="auto"/>
            <w:hideMark/>
          </w:tcPr>
          <w:p w14:paraId="070DDE17" w14:textId="77777777" w:rsidR="001F20C1" w:rsidRPr="005A3244" w:rsidRDefault="001F20C1" w:rsidP="00A324C9">
            <w:pPr>
              <w:jc w:val="center"/>
              <w:rPr>
                <w:sz w:val="24"/>
                <w:szCs w:val="24"/>
                <w:lang w:val="ru-RU" w:eastAsia="ru-RU"/>
              </w:rPr>
            </w:pPr>
            <w:r w:rsidRPr="005A3244">
              <w:rPr>
                <w:sz w:val="24"/>
                <w:szCs w:val="24"/>
                <w:lang w:val="ru-RU" w:eastAsia="ru-RU"/>
              </w:rPr>
              <w:t>1.95</w:t>
            </w:r>
          </w:p>
        </w:tc>
      </w:tr>
      <w:tr w:rsidR="001F20C1" w:rsidRPr="005A3244" w14:paraId="57063247" w14:textId="77777777" w:rsidTr="001F20C1">
        <w:trPr>
          <w:trHeight w:val="242"/>
        </w:trPr>
        <w:tc>
          <w:tcPr>
            <w:tcW w:w="0" w:type="auto"/>
            <w:hideMark/>
          </w:tcPr>
          <w:p w14:paraId="3D268980" w14:textId="77777777" w:rsidR="001F20C1" w:rsidRPr="005A3244" w:rsidRDefault="001F20C1" w:rsidP="00A324C9">
            <w:pPr>
              <w:jc w:val="center"/>
              <w:rPr>
                <w:sz w:val="24"/>
                <w:szCs w:val="24"/>
                <w:lang w:val="ru-RU" w:eastAsia="ru-RU"/>
              </w:rPr>
            </w:pPr>
            <w:r w:rsidRPr="005A3244">
              <w:rPr>
                <w:sz w:val="24"/>
                <w:szCs w:val="24"/>
                <w:lang w:val="ru-RU" w:eastAsia="ru-RU"/>
              </w:rPr>
              <w:t>7</w:t>
            </w:r>
          </w:p>
        </w:tc>
        <w:tc>
          <w:tcPr>
            <w:tcW w:w="0" w:type="auto"/>
            <w:hideMark/>
          </w:tcPr>
          <w:p w14:paraId="0A75D37D" w14:textId="77777777" w:rsidR="001F20C1" w:rsidRPr="005A3244" w:rsidRDefault="001F20C1" w:rsidP="001F20C1">
            <w:pPr>
              <w:rPr>
                <w:sz w:val="24"/>
                <w:szCs w:val="24"/>
                <w:lang w:val="ru-RU" w:eastAsia="ru-RU"/>
              </w:rPr>
            </w:pPr>
            <w:r w:rsidRPr="005A3244">
              <w:rPr>
                <w:sz w:val="24"/>
                <w:szCs w:val="24"/>
                <w:lang w:val="ru-RU" w:eastAsia="ru-RU"/>
              </w:rPr>
              <w:t>SiO₂ + 2 wt.% PAN</w:t>
            </w:r>
          </w:p>
        </w:tc>
        <w:tc>
          <w:tcPr>
            <w:tcW w:w="0" w:type="auto"/>
            <w:hideMark/>
          </w:tcPr>
          <w:p w14:paraId="653F09AC" w14:textId="77777777" w:rsidR="001F20C1" w:rsidRPr="005A3244" w:rsidRDefault="001F20C1" w:rsidP="00A324C9">
            <w:pPr>
              <w:jc w:val="center"/>
              <w:rPr>
                <w:sz w:val="24"/>
                <w:szCs w:val="24"/>
                <w:lang w:val="ru-RU" w:eastAsia="ru-RU"/>
              </w:rPr>
            </w:pPr>
            <w:r w:rsidRPr="005A3244">
              <w:rPr>
                <w:sz w:val="24"/>
                <w:szCs w:val="24"/>
                <w:lang w:val="ru-RU" w:eastAsia="ru-RU"/>
              </w:rPr>
              <w:t>0.0060</w:t>
            </w:r>
          </w:p>
        </w:tc>
        <w:tc>
          <w:tcPr>
            <w:tcW w:w="0" w:type="auto"/>
            <w:hideMark/>
          </w:tcPr>
          <w:p w14:paraId="3E62EC38" w14:textId="77777777" w:rsidR="001F20C1" w:rsidRPr="005A3244" w:rsidRDefault="001F20C1" w:rsidP="00A324C9">
            <w:pPr>
              <w:jc w:val="center"/>
              <w:rPr>
                <w:sz w:val="24"/>
                <w:szCs w:val="24"/>
                <w:lang w:val="ru-RU" w:eastAsia="ru-RU"/>
              </w:rPr>
            </w:pPr>
            <w:r w:rsidRPr="005A3244">
              <w:rPr>
                <w:sz w:val="24"/>
                <w:szCs w:val="24"/>
                <w:lang w:val="ru-RU" w:eastAsia="ru-RU"/>
              </w:rPr>
              <w:t>108.36</w:t>
            </w:r>
          </w:p>
        </w:tc>
        <w:tc>
          <w:tcPr>
            <w:tcW w:w="0" w:type="auto"/>
            <w:hideMark/>
          </w:tcPr>
          <w:p w14:paraId="740CE6EC" w14:textId="77777777" w:rsidR="001F20C1" w:rsidRPr="005A3244" w:rsidRDefault="001F20C1" w:rsidP="00A324C9">
            <w:pPr>
              <w:jc w:val="center"/>
              <w:rPr>
                <w:sz w:val="24"/>
                <w:szCs w:val="24"/>
                <w:lang w:val="ru-RU" w:eastAsia="ru-RU"/>
              </w:rPr>
            </w:pPr>
            <w:r w:rsidRPr="005A3244">
              <w:rPr>
                <w:sz w:val="24"/>
                <w:szCs w:val="24"/>
                <w:lang w:val="ru-RU" w:eastAsia="ru-RU"/>
              </w:rPr>
              <w:t>14.12</w:t>
            </w:r>
          </w:p>
        </w:tc>
        <w:tc>
          <w:tcPr>
            <w:tcW w:w="0" w:type="auto"/>
            <w:hideMark/>
          </w:tcPr>
          <w:p w14:paraId="2E03EFFC" w14:textId="77777777" w:rsidR="001F20C1" w:rsidRPr="005A3244" w:rsidRDefault="001F20C1" w:rsidP="00A324C9">
            <w:pPr>
              <w:jc w:val="center"/>
              <w:rPr>
                <w:sz w:val="24"/>
                <w:szCs w:val="24"/>
                <w:lang w:val="ru-RU" w:eastAsia="ru-RU"/>
              </w:rPr>
            </w:pPr>
            <w:r w:rsidRPr="005A3244">
              <w:rPr>
                <w:sz w:val="24"/>
                <w:szCs w:val="24"/>
                <w:lang w:val="ru-RU" w:eastAsia="ru-RU"/>
              </w:rPr>
              <w:t>1.42</w:t>
            </w:r>
          </w:p>
        </w:tc>
        <w:tc>
          <w:tcPr>
            <w:tcW w:w="0" w:type="auto"/>
            <w:hideMark/>
          </w:tcPr>
          <w:p w14:paraId="681A60F3" w14:textId="77777777" w:rsidR="001F20C1" w:rsidRPr="005A3244" w:rsidRDefault="001F20C1" w:rsidP="00A324C9">
            <w:pPr>
              <w:jc w:val="center"/>
              <w:rPr>
                <w:sz w:val="24"/>
                <w:szCs w:val="24"/>
                <w:lang w:val="ru-RU" w:eastAsia="ru-RU"/>
              </w:rPr>
            </w:pPr>
            <w:r w:rsidRPr="005A3244">
              <w:rPr>
                <w:sz w:val="24"/>
                <w:szCs w:val="24"/>
                <w:lang w:val="ru-RU" w:eastAsia="ru-RU"/>
              </w:rPr>
              <w:t>1.51</w:t>
            </w:r>
          </w:p>
        </w:tc>
      </w:tr>
    </w:tbl>
    <w:p w14:paraId="51F9CDD7" w14:textId="77777777" w:rsidR="001F20C1" w:rsidRPr="005A3244" w:rsidRDefault="001F20C1" w:rsidP="008D4084">
      <w:pPr>
        <w:pStyle w:val="af6"/>
        <w:spacing w:before="0" w:beforeAutospacing="0" w:after="0" w:afterAutospacing="0"/>
        <w:jc w:val="center"/>
        <w:rPr>
          <w:lang w:val="en-US"/>
        </w:rPr>
      </w:pPr>
    </w:p>
    <w:p w14:paraId="16B1ED8B" w14:textId="63A994B4" w:rsidR="00C65786" w:rsidRPr="005A3244" w:rsidRDefault="00C65786" w:rsidP="00C65786">
      <w:pPr>
        <w:pStyle w:val="af6"/>
        <w:spacing w:before="0" w:beforeAutospacing="0" w:after="0" w:afterAutospacing="0"/>
        <w:ind w:firstLine="567"/>
        <w:jc w:val="both"/>
        <w:rPr>
          <w:lang w:val="en-US"/>
        </w:rPr>
      </w:pPr>
      <w:r w:rsidRPr="005A3244">
        <w:rPr>
          <w:lang w:val="en-US"/>
        </w:rPr>
        <w:t>At higher silica content (1:4), a decrease in X</w:t>
      </w:r>
      <w:r w:rsidRPr="005A3244">
        <w:rPr>
          <w:vertAlign w:val="subscript"/>
          <w:lang w:val="en-US"/>
        </w:rPr>
        <w:t>m</w:t>
      </w:r>
      <w:r w:rsidRPr="005A3244">
        <w:rPr>
          <w:lang w:val="en-US"/>
        </w:rPr>
        <w:t xml:space="preserve"> (to 0.0080 g/g) and S</w:t>
      </w:r>
      <w:r w:rsidRPr="005A3244">
        <w:rPr>
          <w:vertAlign w:val="subscript"/>
          <w:lang w:val="en-US"/>
        </w:rPr>
        <w:t>BET</w:t>
      </w:r>
      <w:r w:rsidRPr="005A3244">
        <w:rPr>
          <w:lang w:val="en-US"/>
        </w:rPr>
        <w:t xml:space="preserve"> (to 18.83 m²/g) is observed, suggesting partial densification or reduced accessibility of the pore structure. This indicates that excessive inorganic content leads to increased rigidity of the matrix and limits the development of an open porous network.</w:t>
      </w:r>
    </w:p>
    <w:p w14:paraId="5C485E5C" w14:textId="77777777" w:rsidR="00C65786" w:rsidRPr="005A3244" w:rsidRDefault="00C65786" w:rsidP="00C65786">
      <w:pPr>
        <w:pStyle w:val="af6"/>
        <w:spacing w:before="0" w:beforeAutospacing="0" w:after="0" w:afterAutospacing="0"/>
        <w:ind w:firstLine="567"/>
        <w:jc w:val="both"/>
        <w:rPr>
          <w:lang w:val="en-US"/>
        </w:rPr>
      </w:pPr>
      <w:r w:rsidRPr="005A3244">
        <w:rPr>
          <w:lang w:val="en-US"/>
        </w:rPr>
        <w:t>The superior performance of the PAN:SiO₂ = 1:3 system is attributed to the formation of interpenetrating polymer–inorganic networks, in which the silica phase provides structural rigidity while the polymer phase prevents pore collapse and ensures connectivity. This leads to an optimal combination of pore size, accessibility, and structural stability.</w:t>
      </w:r>
    </w:p>
    <w:p w14:paraId="3337630D" w14:textId="480E67AA" w:rsidR="00C65786" w:rsidRPr="005A3244" w:rsidRDefault="00C65786" w:rsidP="00C65786">
      <w:pPr>
        <w:pStyle w:val="af6"/>
        <w:spacing w:before="0" w:beforeAutospacing="0" w:after="0" w:afterAutospacing="0"/>
        <w:ind w:firstLine="567"/>
        <w:jc w:val="both"/>
        <w:rPr>
          <w:lang w:val="en-US"/>
        </w:rPr>
      </w:pPr>
      <w:r w:rsidRPr="005A3244">
        <w:rPr>
          <w:lang w:val="en-US"/>
        </w:rPr>
        <w:t>Furthermore, comparison with sampl</w:t>
      </w:r>
      <w:r w:rsidR="007C0EA0" w:rsidRPr="005A3244">
        <w:rPr>
          <w:lang w:val="en-US"/>
        </w:rPr>
        <w:t>es prepared by impregnation (SiO</w:t>
      </w:r>
      <w:r w:rsidR="007C0EA0" w:rsidRPr="005A3244">
        <w:rPr>
          <w:vertAlign w:val="subscript"/>
          <w:lang w:val="en-US"/>
        </w:rPr>
        <w:t>2</w:t>
      </w:r>
      <w:r w:rsidRPr="005A3244">
        <w:rPr>
          <w:lang w:val="en-US"/>
        </w:rPr>
        <w:t xml:space="preserve"> + 2% PAN) shows that sol–gel-derived materials exhibit higher adsorption capacity and better-developed pore structure, confirming the effectiveness of the sol–gel method for generating hybrid porous systems.</w:t>
      </w:r>
    </w:p>
    <w:p w14:paraId="686C7006" w14:textId="7EBF4A01" w:rsidR="00C64B35" w:rsidRPr="005A3244" w:rsidRDefault="006E3116" w:rsidP="00E1684E">
      <w:pPr>
        <w:ind w:firstLine="567"/>
        <w:rPr>
          <w:rFonts w:cs="Times New Roman"/>
          <w:b/>
          <w:bCs/>
          <w:color w:val="0070C0"/>
          <w:sz w:val="24"/>
          <w:szCs w:val="24"/>
          <w:lang w:val="en-US"/>
        </w:rPr>
      </w:pPr>
      <w:r w:rsidRPr="005A3244">
        <w:rPr>
          <w:rFonts w:cs="Times New Roman"/>
          <w:b/>
          <w:bCs/>
          <w:color w:val="0070C0"/>
          <w:sz w:val="24"/>
          <w:szCs w:val="24"/>
          <w:lang w:val="en-US"/>
        </w:rPr>
        <w:t xml:space="preserve">3.3. </w:t>
      </w:r>
      <w:r w:rsidR="00B110EA" w:rsidRPr="005A3244">
        <w:rPr>
          <w:rFonts w:cs="Times New Roman"/>
          <w:b/>
          <w:bCs/>
          <w:color w:val="0070C0"/>
          <w:sz w:val="24"/>
          <w:szCs w:val="24"/>
          <w:lang w:val="en-US"/>
        </w:rPr>
        <w:t>Water Adsorption: Quantitative Evidence of Surface Functionality</w:t>
      </w:r>
    </w:p>
    <w:p w14:paraId="4E8F19CD" w14:textId="1BEB490C" w:rsidR="00292C97" w:rsidRPr="005A3244" w:rsidRDefault="000C2EA3" w:rsidP="00292C97">
      <w:pPr>
        <w:ind w:firstLine="567"/>
        <w:rPr>
          <w:rFonts w:cs="Times New Roman"/>
          <w:bCs/>
          <w:sz w:val="24"/>
          <w:szCs w:val="24"/>
          <w:lang w:val="en-US"/>
        </w:rPr>
      </w:pPr>
      <w:r w:rsidRPr="005A3244">
        <w:rPr>
          <w:rFonts w:cs="Times New Roman"/>
          <w:bCs/>
          <w:sz w:val="24"/>
          <w:szCs w:val="24"/>
          <w:lang w:val="en-US"/>
        </w:rPr>
        <w:t>The adsorption of water vapor exhibits fundamentally different behavior compared to benzene, reflecting the dominant role of specific interactions and surface chemistry. Unlike benzene, where a sharp increase in adsorption occurs at P/P₀ ≈ 0.5, water adsorption shows a steep rise only at relative pressures close to saturation (P/P₀ → 1), indicating a different adsorption mechanism</w:t>
      </w:r>
      <w:r w:rsidR="00714029" w:rsidRPr="005A3244">
        <w:rPr>
          <w:rFonts w:cs="Times New Roman"/>
          <w:bCs/>
          <w:sz w:val="24"/>
          <w:szCs w:val="24"/>
          <w:lang w:val="en-US"/>
        </w:rPr>
        <w:t xml:space="preserve"> (figure </w:t>
      </w:r>
      <w:r w:rsidR="00053FDA" w:rsidRPr="005A3244">
        <w:rPr>
          <w:rFonts w:cs="Times New Roman"/>
          <w:bCs/>
          <w:sz w:val="24"/>
          <w:szCs w:val="24"/>
          <w:lang w:val="en-US"/>
        </w:rPr>
        <w:t>3</w:t>
      </w:r>
      <w:r w:rsidR="00714029" w:rsidRPr="005A3244">
        <w:rPr>
          <w:rFonts w:cs="Times New Roman"/>
          <w:bCs/>
          <w:sz w:val="24"/>
          <w:szCs w:val="24"/>
          <w:lang w:val="en-US"/>
        </w:rPr>
        <w:t>)</w:t>
      </w:r>
      <w:r w:rsidR="00292C97" w:rsidRPr="005A3244">
        <w:rPr>
          <w:rFonts w:cs="Times New Roman"/>
          <w:bCs/>
          <w:sz w:val="24"/>
          <w:szCs w:val="24"/>
          <w:lang w:val="en-US"/>
        </w:rPr>
        <w:t>.</w:t>
      </w:r>
    </w:p>
    <w:p w14:paraId="56C1387F" w14:textId="77777777" w:rsidR="00714029" w:rsidRPr="005A3244" w:rsidRDefault="00714029" w:rsidP="00292C97">
      <w:pPr>
        <w:ind w:firstLine="567"/>
        <w:rPr>
          <w:rFonts w:cs="Times New Roman"/>
          <w:bCs/>
          <w:sz w:val="24"/>
          <w:szCs w:val="24"/>
          <w:lang w:val="en-US"/>
        </w:rPr>
      </w:pPr>
    </w:p>
    <w:p w14:paraId="6473BD00" w14:textId="6CDD43EE" w:rsidR="005C78B1" w:rsidRPr="005A3244" w:rsidRDefault="005C78B1" w:rsidP="000D331E">
      <w:pPr>
        <w:ind w:firstLine="0"/>
        <w:jc w:val="center"/>
        <w:rPr>
          <w:rFonts w:cs="Times New Roman"/>
          <w:bCs/>
          <w:sz w:val="24"/>
          <w:szCs w:val="24"/>
          <w:lang w:val="en-US"/>
        </w:rPr>
      </w:pPr>
      <w:r w:rsidRPr="005A3244">
        <w:rPr>
          <w:noProof/>
          <w:sz w:val="24"/>
          <w:szCs w:val="24"/>
          <w:lang w:val="en-US"/>
        </w:rPr>
        <w:drawing>
          <wp:inline distT="0" distB="0" distL="0" distR="0" wp14:anchorId="2F4797CF" wp14:editId="1EBF725D">
            <wp:extent cx="3790950" cy="2800350"/>
            <wp:effectExtent l="0" t="0" r="0" b="0"/>
            <wp:docPr id="44" name="Диаграмма 44">
              <a:extLst xmlns:a="http://schemas.openxmlformats.org/drawingml/2006/main">
                <a:ext uri="{FF2B5EF4-FFF2-40B4-BE49-F238E27FC236}">
                  <a16:creationId xmlns:a16="http://schemas.microsoft.com/office/drawing/2014/main" id="{00000000-0008-0000-0000-00000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256FFAC" w14:textId="41CD8556" w:rsidR="00DF3DE6" w:rsidRDefault="00DF3DE6" w:rsidP="00DF3DE6">
      <w:pPr>
        <w:pStyle w:val="af6"/>
        <w:spacing w:before="0" w:beforeAutospacing="0" w:after="0" w:afterAutospacing="0"/>
        <w:jc w:val="center"/>
        <w:rPr>
          <w:b/>
          <w:lang w:val="en-US"/>
        </w:rPr>
      </w:pPr>
      <w:r w:rsidRPr="005A3244">
        <w:rPr>
          <w:b/>
          <w:lang w:val="en-US"/>
        </w:rPr>
        <w:t xml:space="preserve">Figure </w:t>
      </w:r>
      <w:r w:rsidR="00FB53B6" w:rsidRPr="005A3244">
        <w:rPr>
          <w:b/>
          <w:lang w:val="en-US"/>
        </w:rPr>
        <w:t>3</w:t>
      </w:r>
      <w:r w:rsidRPr="005A3244">
        <w:rPr>
          <w:b/>
          <w:lang w:val="en-US"/>
        </w:rPr>
        <w:t>. Water adsorption isotherms of PAN–SiO₂ hybrid nanocomposites</w:t>
      </w:r>
    </w:p>
    <w:p w14:paraId="048116C7" w14:textId="55964188" w:rsidR="00FA0209" w:rsidRPr="00FA0209" w:rsidRDefault="00FA0209" w:rsidP="00FA0209">
      <w:pPr>
        <w:pStyle w:val="af6"/>
        <w:spacing w:before="0" w:beforeAutospacing="0" w:after="0" w:afterAutospacing="0"/>
        <w:ind w:firstLine="567"/>
        <w:jc w:val="both"/>
        <w:rPr>
          <w:lang w:val="en-US"/>
        </w:rPr>
      </w:pPr>
      <w:r w:rsidRPr="005A3244">
        <w:rPr>
          <w:lang w:val="en-US"/>
        </w:rPr>
        <w:t xml:space="preserve">The overall trends in adsorption are similar to those observed for benzene, with the PAN:SiO₂ = 1:3 composition again demonstrating the highest adsorption capacity. In this case, the </w:t>
      </w:r>
      <w:r w:rsidRPr="005A3244">
        <w:rPr>
          <w:lang w:val="en-US"/>
        </w:rPr>
        <w:lastRenderedPageBreak/>
        <w:t>monolayer capacity reaches X</w:t>
      </w:r>
      <w:r w:rsidRPr="005A3244">
        <w:rPr>
          <w:vertAlign w:val="subscript"/>
          <w:lang w:val="en-US"/>
        </w:rPr>
        <w:t>m</w:t>
      </w:r>
      <w:r w:rsidRPr="005A3244">
        <w:rPr>
          <w:lang w:val="en-US"/>
        </w:rPr>
        <w:t xml:space="preserve"> = 0.0097 g/g, and the specific surface area increases to 34.07 m²/g, significantly exceeding the corresponding values obtained from benzene adsorption (table 2).</w:t>
      </w:r>
    </w:p>
    <w:p w14:paraId="776E8B87" w14:textId="115C1716" w:rsidR="000C2EA3" w:rsidRPr="005A3244" w:rsidRDefault="000C2EA3" w:rsidP="000C2EA3">
      <w:pPr>
        <w:pStyle w:val="af6"/>
        <w:spacing w:before="0" w:beforeAutospacing="0" w:after="0" w:afterAutospacing="0"/>
        <w:ind w:firstLine="567"/>
        <w:jc w:val="both"/>
        <w:rPr>
          <w:lang w:val="en-US"/>
        </w:rPr>
      </w:pPr>
      <w:r w:rsidRPr="005A3244">
        <w:rPr>
          <w:lang w:val="en-US"/>
        </w:rPr>
        <w:t xml:space="preserve">A substantial increase in thermodynamic parameters is also observed. The Gibbs free energy reaches </w:t>
      </w:r>
      <m:oMath>
        <m:r>
          <w:rPr>
            <w:rFonts w:ascii="Cambria Math" w:hAnsi="Cambria Math"/>
            <w:lang w:val="en-US"/>
          </w:rPr>
          <m:t>-∆</m:t>
        </m:r>
        <m:sSubSup>
          <m:sSubSupPr>
            <m:ctrlPr>
              <w:rPr>
                <w:rFonts w:ascii="Cambria Math" w:hAnsi="Cambria Math"/>
                <w:bCs/>
                <w:i/>
                <w:iCs/>
              </w:rPr>
            </m:ctrlPr>
          </m:sSubSupPr>
          <m:e>
            <m:r>
              <m:rPr>
                <m:sty m:val="p"/>
              </m:rPr>
              <w:rPr>
                <w:rFonts w:ascii="Cambria Math" w:hAnsi="Cambria Math"/>
                <w:lang w:val="en-US"/>
              </w:rPr>
              <m:t>g</m:t>
            </m:r>
          </m:e>
          <m:sub>
            <m:r>
              <w:rPr>
                <w:rFonts w:ascii="Cambria Math" w:hAnsi="Cambria Math"/>
              </w:rPr>
              <m:t>m</m:t>
            </m:r>
          </m:sub>
          <m:sup>
            <m:r>
              <m:rPr>
                <m:nor/>
              </m:rPr>
              <w:rPr>
                <w:i/>
                <w:lang w:val="en-US"/>
              </w:rPr>
              <m:t>max</m:t>
            </m:r>
          </m:sup>
        </m:sSubSup>
      </m:oMath>
      <w:r w:rsidRPr="005A3244">
        <w:rPr>
          <w:lang w:val="en-US"/>
        </w:rPr>
        <w:t xml:space="preserve"> = 6.32 J/mol and −ΔGᵢ = 7.40 J/mol, which is significantly higher than the corresponding values for benzene adsorption. This confirms the stronger interaction between water molecules and the hybrid surface.</w:t>
      </w:r>
    </w:p>
    <w:p w14:paraId="44A1A306" w14:textId="77777777" w:rsidR="003427F2" w:rsidRDefault="003427F2" w:rsidP="00DF3DE6">
      <w:pPr>
        <w:pStyle w:val="af6"/>
        <w:spacing w:before="0" w:beforeAutospacing="0" w:after="0" w:afterAutospacing="0"/>
        <w:jc w:val="center"/>
        <w:rPr>
          <w:b/>
          <w:lang w:val="en-US"/>
        </w:rPr>
      </w:pPr>
    </w:p>
    <w:p w14:paraId="27856C57" w14:textId="77777777" w:rsidR="00A324C9" w:rsidRDefault="00DF3DE6" w:rsidP="00A324C9">
      <w:pPr>
        <w:pStyle w:val="af6"/>
        <w:spacing w:before="0" w:beforeAutospacing="0" w:after="0" w:afterAutospacing="0"/>
        <w:jc w:val="right"/>
        <w:rPr>
          <w:b/>
          <w:lang w:val="en-US"/>
        </w:rPr>
      </w:pPr>
      <w:r w:rsidRPr="005A3244">
        <w:rPr>
          <w:b/>
          <w:lang w:val="en-US"/>
        </w:rPr>
        <w:t xml:space="preserve">Table </w:t>
      </w:r>
      <w:r w:rsidR="00714029" w:rsidRPr="005A3244">
        <w:rPr>
          <w:b/>
          <w:lang w:val="en-US"/>
        </w:rPr>
        <w:t>2</w:t>
      </w:r>
      <w:r w:rsidRPr="005A3244">
        <w:rPr>
          <w:b/>
          <w:lang w:val="en-US"/>
        </w:rPr>
        <w:t xml:space="preserve">. </w:t>
      </w:r>
    </w:p>
    <w:p w14:paraId="6E9B47F7" w14:textId="285D8A0A" w:rsidR="00DF3DE6" w:rsidRPr="005A3244" w:rsidRDefault="00DF3DE6" w:rsidP="00DF3DE6">
      <w:pPr>
        <w:pStyle w:val="af6"/>
        <w:spacing w:before="0" w:beforeAutospacing="0" w:after="0" w:afterAutospacing="0"/>
        <w:jc w:val="center"/>
        <w:rPr>
          <w:b/>
          <w:lang w:val="en-US"/>
        </w:rPr>
      </w:pPr>
      <w:r w:rsidRPr="005A3244">
        <w:rPr>
          <w:b/>
          <w:lang w:val="en-US"/>
        </w:rPr>
        <w:t>Textural parameters derived from water vapor adsorption</w:t>
      </w:r>
    </w:p>
    <w:tbl>
      <w:tblPr>
        <w:tblStyle w:val="af"/>
        <w:tblW w:w="9447" w:type="dxa"/>
        <w:tblLook w:val="04A0" w:firstRow="1" w:lastRow="0" w:firstColumn="1" w:lastColumn="0" w:noHBand="0" w:noVBand="1"/>
      </w:tblPr>
      <w:tblGrid>
        <w:gridCol w:w="549"/>
        <w:gridCol w:w="2564"/>
        <w:gridCol w:w="1241"/>
        <w:gridCol w:w="1147"/>
        <w:gridCol w:w="1618"/>
        <w:gridCol w:w="1188"/>
        <w:gridCol w:w="1140"/>
      </w:tblGrid>
      <w:tr w:rsidR="00260EA5" w:rsidRPr="005A3244" w14:paraId="7F766AA3" w14:textId="77777777" w:rsidTr="00A324C9">
        <w:trPr>
          <w:trHeight w:val="646"/>
        </w:trPr>
        <w:tc>
          <w:tcPr>
            <w:tcW w:w="0" w:type="auto"/>
            <w:vAlign w:val="center"/>
            <w:hideMark/>
          </w:tcPr>
          <w:p w14:paraId="0A09B07F" w14:textId="2C1F32F1" w:rsidR="00260EA5" w:rsidRPr="005A3244" w:rsidRDefault="00A324C9" w:rsidP="00A324C9">
            <w:pPr>
              <w:jc w:val="center"/>
              <w:rPr>
                <w:b/>
                <w:bCs/>
                <w:sz w:val="24"/>
                <w:szCs w:val="24"/>
                <w:lang w:val="ru-RU" w:eastAsia="ru-RU"/>
              </w:rPr>
            </w:pPr>
            <w:r>
              <w:rPr>
                <w:b/>
                <w:bCs/>
                <w:sz w:val="24"/>
                <w:szCs w:val="24"/>
                <w:lang w:val="ru-RU" w:eastAsia="ru-RU"/>
              </w:rPr>
              <w:t>№</w:t>
            </w:r>
          </w:p>
        </w:tc>
        <w:tc>
          <w:tcPr>
            <w:tcW w:w="0" w:type="auto"/>
            <w:vAlign w:val="center"/>
            <w:hideMark/>
          </w:tcPr>
          <w:p w14:paraId="30C4B368" w14:textId="77777777" w:rsidR="00260EA5" w:rsidRPr="005A3244" w:rsidRDefault="00260EA5" w:rsidP="00A324C9">
            <w:pPr>
              <w:jc w:val="center"/>
              <w:rPr>
                <w:b/>
                <w:bCs/>
                <w:sz w:val="24"/>
                <w:szCs w:val="24"/>
                <w:lang w:val="ru-RU" w:eastAsia="ru-RU"/>
              </w:rPr>
            </w:pPr>
            <w:r w:rsidRPr="005A3244">
              <w:rPr>
                <w:b/>
                <w:bCs/>
                <w:sz w:val="24"/>
                <w:szCs w:val="24"/>
                <w:lang w:val="ru-RU" w:eastAsia="ru-RU"/>
              </w:rPr>
              <w:t>Sample</w:t>
            </w:r>
          </w:p>
        </w:tc>
        <w:tc>
          <w:tcPr>
            <w:tcW w:w="0" w:type="auto"/>
            <w:vAlign w:val="center"/>
            <w:hideMark/>
          </w:tcPr>
          <w:p w14:paraId="05236A43" w14:textId="77777777" w:rsidR="00260EA5" w:rsidRPr="005A3244" w:rsidRDefault="00260EA5" w:rsidP="00A324C9">
            <w:pPr>
              <w:jc w:val="center"/>
              <w:rPr>
                <w:b/>
                <w:bCs/>
                <w:sz w:val="24"/>
                <w:szCs w:val="24"/>
                <w:lang w:val="ru-RU" w:eastAsia="ru-RU"/>
              </w:rPr>
            </w:pPr>
            <w:r w:rsidRPr="005A3244">
              <w:rPr>
                <w:b/>
                <w:bCs/>
                <w:sz w:val="24"/>
                <w:szCs w:val="24"/>
                <w:lang w:val="ru-RU" w:eastAsia="ru-RU"/>
              </w:rPr>
              <w:t>Xₘ (g/g)</w:t>
            </w:r>
          </w:p>
        </w:tc>
        <w:tc>
          <w:tcPr>
            <w:tcW w:w="0" w:type="auto"/>
            <w:vAlign w:val="center"/>
            <w:hideMark/>
          </w:tcPr>
          <w:p w14:paraId="3AB038C6" w14:textId="2A15C953" w:rsidR="00260EA5" w:rsidRPr="005A3244" w:rsidRDefault="00260EA5" w:rsidP="00A324C9">
            <w:pPr>
              <w:jc w:val="center"/>
              <w:rPr>
                <w:b/>
                <w:bCs/>
                <w:sz w:val="24"/>
                <w:szCs w:val="24"/>
                <w:lang w:val="ru-RU" w:eastAsia="ru-RU"/>
              </w:rPr>
            </w:pPr>
            <w:r w:rsidRPr="005A3244">
              <w:rPr>
                <w:b/>
                <w:bCs/>
                <w:sz w:val="24"/>
                <w:szCs w:val="24"/>
                <w:lang w:val="ru-RU" w:eastAsia="ru-RU"/>
              </w:rPr>
              <w:t>r</w:t>
            </w:r>
            <w:r w:rsidRPr="005A3244">
              <w:rPr>
                <w:b/>
                <w:bCs/>
                <w:sz w:val="24"/>
                <w:szCs w:val="24"/>
                <w:vertAlign w:val="subscript"/>
                <w:lang w:val="ru-RU" w:eastAsia="ru-RU"/>
              </w:rPr>
              <w:t>avg</w:t>
            </w:r>
            <w:r w:rsidRPr="005A3244">
              <w:rPr>
                <w:b/>
                <w:bCs/>
                <w:sz w:val="24"/>
                <w:szCs w:val="24"/>
                <w:lang w:val="ru-RU" w:eastAsia="ru-RU"/>
              </w:rPr>
              <w:t xml:space="preserve"> (Å)</w:t>
            </w:r>
          </w:p>
        </w:tc>
        <w:tc>
          <w:tcPr>
            <w:tcW w:w="0" w:type="auto"/>
            <w:vAlign w:val="center"/>
            <w:hideMark/>
          </w:tcPr>
          <w:p w14:paraId="157ED2C2" w14:textId="20D93166" w:rsidR="00260EA5" w:rsidRPr="005A3244" w:rsidRDefault="00260EA5" w:rsidP="00A324C9">
            <w:pPr>
              <w:jc w:val="center"/>
              <w:rPr>
                <w:b/>
                <w:bCs/>
                <w:sz w:val="24"/>
                <w:szCs w:val="24"/>
                <w:lang w:val="ru-RU" w:eastAsia="ru-RU"/>
              </w:rPr>
            </w:pPr>
            <w:r w:rsidRPr="005A3244">
              <w:rPr>
                <w:b/>
                <w:bCs/>
                <w:sz w:val="24"/>
                <w:szCs w:val="24"/>
                <w:lang w:val="ru-RU" w:eastAsia="ru-RU"/>
              </w:rPr>
              <w:t>S</w:t>
            </w:r>
            <w:r w:rsidRPr="005A3244">
              <w:rPr>
                <w:b/>
                <w:bCs/>
                <w:sz w:val="24"/>
                <w:szCs w:val="24"/>
                <w:vertAlign w:val="subscript"/>
                <w:lang w:val="ru-RU" w:eastAsia="ru-RU"/>
              </w:rPr>
              <w:t>BET</w:t>
            </w:r>
            <w:r w:rsidRPr="005A3244">
              <w:rPr>
                <w:b/>
                <w:bCs/>
                <w:sz w:val="24"/>
                <w:szCs w:val="24"/>
                <w:lang w:val="ru-RU" w:eastAsia="ru-RU"/>
              </w:rPr>
              <w:t xml:space="preserve"> (m²/g)</w:t>
            </w:r>
          </w:p>
        </w:tc>
        <w:tc>
          <w:tcPr>
            <w:tcW w:w="0" w:type="auto"/>
            <w:vAlign w:val="center"/>
            <w:hideMark/>
          </w:tcPr>
          <w:p w14:paraId="4718A2A8" w14:textId="77777777" w:rsidR="00260EA5" w:rsidRPr="005A3244" w:rsidRDefault="00260EA5" w:rsidP="00A324C9">
            <w:pPr>
              <w:jc w:val="center"/>
              <w:rPr>
                <w:b/>
                <w:bCs/>
                <w:iCs/>
                <w:sz w:val="24"/>
                <w:szCs w:val="24"/>
              </w:rPr>
            </w:pPr>
            <m:oMathPara>
              <m:oMath>
                <m:r>
                  <m:rPr>
                    <m:sty m:val="bi"/>
                  </m:rPr>
                  <w:rPr>
                    <w:rFonts w:ascii="Cambria Math" w:hAnsi="Cambria Math"/>
                    <w:sz w:val="24"/>
                    <w:szCs w:val="24"/>
                  </w:rPr>
                  <m:t>-∆</m:t>
                </m:r>
                <m:sSubSup>
                  <m:sSubSupPr>
                    <m:ctrlPr>
                      <w:rPr>
                        <w:rFonts w:ascii="Cambria Math" w:hAnsi="Cambria Math"/>
                        <w:b/>
                        <w:bCs/>
                        <w:i/>
                        <w:iCs/>
                        <w:sz w:val="24"/>
                        <w:szCs w:val="24"/>
                      </w:rPr>
                    </m:ctrlPr>
                  </m:sSubSupPr>
                  <m:e>
                    <m:r>
                      <m:rPr>
                        <m:sty m:val="b"/>
                      </m:rPr>
                      <w:rPr>
                        <w:rFonts w:ascii="Cambria Math" w:hAnsi="Cambria Math"/>
                        <w:sz w:val="24"/>
                        <w:szCs w:val="24"/>
                      </w:rPr>
                      <m:t>g</m:t>
                    </m:r>
                  </m:e>
                  <m:sub>
                    <m:r>
                      <m:rPr>
                        <m:sty m:val="bi"/>
                      </m:rPr>
                      <w:rPr>
                        <w:rFonts w:ascii="Cambria Math" w:hAnsi="Cambria Math"/>
                        <w:sz w:val="24"/>
                        <w:szCs w:val="24"/>
                      </w:rPr>
                      <m:t>m</m:t>
                    </m:r>
                  </m:sub>
                  <m:sup>
                    <m:r>
                      <m:rPr>
                        <m:nor/>
                      </m:rPr>
                      <w:rPr>
                        <w:b/>
                        <w:i/>
                        <w:sz w:val="24"/>
                        <w:szCs w:val="24"/>
                        <w:lang w:val="en-US"/>
                      </w:rPr>
                      <m:t>max</m:t>
                    </m:r>
                  </m:sup>
                </m:sSubSup>
              </m:oMath>
            </m:oMathPara>
          </w:p>
          <w:p w14:paraId="3D681340" w14:textId="1724D3E9" w:rsidR="00260EA5" w:rsidRPr="005A3244" w:rsidRDefault="00260EA5" w:rsidP="00A324C9">
            <w:pPr>
              <w:jc w:val="center"/>
              <w:rPr>
                <w:b/>
                <w:bCs/>
                <w:sz w:val="24"/>
                <w:szCs w:val="24"/>
                <w:lang w:val="ru-RU" w:eastAsia="ru-RU"/>
              </w:rPr>
            </w:pPr>
            <w:r w:rsidRPr="005A3244">
              <w:rPr>
                <w:b/>
                <w:bCs/>
                <w:sz w:val="24"/>
                <w:szCs w:val="24"/>
                <w:lang w:val="en-US" w:eastAsia="ru-RU"/>
              </w:rPr>
              <w:t>(J/mol)</w:t>
            </w:r>
          </w:p>
        </w:tc>
        <w:tc>
          <w:tcPr>
            <w:tcW w:w="0" w:type="auto"/>
            <w:vAlign w:val="center"/>
            <w:hideMark/>
          </w:tcPr>
          <w:p w14:paraId="57992FE1" w14:textId="77777777" w:rsidR="00260EA5" w:rsidRPr="005A3244" w:rsidRDefault="00260EA5" w:rsidP="00A324C9">
            <w:pPr>
              <w:jc w:val="center"/>
              <w:rPr>
                <w:b/>
                <w:bCs/>
                <w:sz w:val="24"/>
                <w:szCs w:val="24"/>
                <w:lang w:val="ru-RU" w:eastAsia="ru-RU"/>
              </w:rPr>
            </w:pPr>
            <w:r w:rsidRPr="005A3244">
              <w:rPr>
                <w:b/>
                <w:bCs/>
                <w:sz w:val="24"/>
                <w:szCs w:val="24"/>
                <w:lang w:val="ru-RU" w:eastAsia="ru-RU"/>
              </w:rPr>
              <w:t>−ΔGᵢ</w:t>
            </w:r>
          </w:p>
          <w:p w14:paraId="5CB74F9F" w14:textId="2ACEA4E1" w:rsidR="00260EA5" w:rsidRPr="005A3244" w:rsidRDefault="00260EA5" w:rsidP="00A324C9">
            <w:pPr>
              <w:jc w:val="center"/>
              <w:rPr>
                <w:b/>
                <w:bCs/>
                <w:sz w:val="24"/>
                <w:szCs w:val="24"/>
                <w:lang w:val="ru-RU" w:eastAsia="ru-RU"/>
              </w:rPr>
            </w:pPr>
            <w:r w:rsidRPr="005A3244">
              <w:rPr>
                <w:b/>
                <w:bCs/>
                <w:sz w:val="24"/>
                <w:szCs w:val="24"/>
                <w:lang w:val="ru-RU" w:eastAsia="ru-RU"/>
              </w:rPr>
              <w:t>(J/mol)</w:t>
            </w:r>
          </w:p>
        </w:tc>
      </w:tr>
      <w:tr w:rsidR="00260EA5" w:rsidRPr="005A3244" w14:paraId="3D900118" w14:textId="77777777" w:rsidTr="00260EA5">
        <w:trPr>
          <w:trHeight w:val="271"/>
        </w:trPr>
        <w:tc>
          <w:tcPr>
            <w:tcW w:w="0" w:type="auto"/>
            <w:hideMark/>
          </w:tcPr>
          <w:p w14:paraId="7CE5F449" w14:textId="77777777" w:rsidR="00260EA5" w:rsidRPr="005A3244" w:rsidRDefault="00260EA5" w:rsidP="00A324C9">
            <w:pPr>
              <w:jc w:val="center"/>
              <w:rPr>
                <w:sz w:val="24"/>
                <w:szCs w:val="24"/>
                <w:lang w:val="ru-RU" w:eastAsia="ru-RU"/>
              </w:rPr>
            </w:pPr>
            <w:r w:rsidRPr="005A3244">
              <w:rPr>
                <w:sz w:val="24"/>
                <w:szCs w:val="24"/>
                <w:lang w:val="ru-RU" w:eastAsia="ru-RU"/>
              </w:rPr>
              <w:t>1</w:t>
            </w:r>
          </w:p>
        </w:tc>
        <w:tc>
          <w:tcPr>
            <w:tcW w:w="0" w:type="auto"/>
            <w:hideMark/>
          </w:tcPr>
          <w:p w14:paraId="1CD98524" w14:textId="57160C15" w:rsidR="00260EA5" w:rsidRPr="005A3244" w:rsidRDefault="00260EA5" w:rsidP="00260EA5">
            <w:pPr>
              <w:rPr>
                <w:sz w:val="24"/>
                <w:szCs w:val="24"/>
                <w:lang w:val="ru-RU" w:eastAsia="ru-RU"/>
              </w:rPr>
            </w:pPr>
            <w:r w:rsidRPr="005A3244">
              <w:rPr>
                <w:sz w:val="24"/>
                <w:szCs w:val="24"/>
                <w:lang w:val="ru-RU" w:eastAsia="ru-RU"/>
              </w:rPr>
              <w:t>PAN</w:t>
            </w:r>
          </w:p>
        </w:tc>
        <w:tc>
          <w:tcPr>
            <w:tcW w:w="0" w:type="auto"/>
            <w:hideMark/>
          </w:tcPr>
          <w:p w14:paraId="5FD569DA" w14:textId="77777777" w:rsidR="00260EA5" w:rsidRPr="005A3244" w:rsidRDefault="00260EA5" w:rsidP="00A324C9">
            <w:pPr>
              <w:jc w:val="center"/>
              <w:rPr>
                <w:sz w:val="24"/>
                <w:szCs w:val="24"/>
                <w:lang w:val="ru-RU" w:eastAsia="ru-RU"/>
              </w:rPr>
            </w:pPr>
            <w:r w:rsidRPr="005A3244">
              <w:rPr>
                <w:sz w:val="24"/>
                <w:szCs w:val="24"/>
                <w:lang w:val="ru-RU" w:eastAsia="ru-RU"/>
              </w:rPr>
              <w:t>0.0059</w:t>
            </w:r>
          </w:p>
        </w:tc>
        <w:tc>
          <w:tcPr>
            <w:tcW w:w="0" w:type="auto"/>
            <w:hideMark/>
          </w:tcPr>
          <w:p w14:paraId="194ABDBE" w14:textId="77777777" w:rsidR="00260EA5" w:rsidRPr="005A3244" w:rsidRDefault="00260EA5" w:rsidP="00A324C9">
            <w:pPr>
              <w:jc w:val="center"/>
              <w:rPr>
                <w:sz w:val="24"/>
                <w:szCs w:val="24"/>
                <w:lang w:val="ru-RU" w:eastAsia="ru-RU"/>
              </w:rPr>
            </w:pPr>
            <w:r w:rsidRPr="005A3244">
              <w:rPr>
                <w:sz w:val="24"/>
                <w:szCs w:val="24"/>
                <w:lang w:val="ru-RU" w:eastAsia="ru-RU"/>
              </w:rPr>
              <w:t>18.34</w:t>
            </w:r>
          </w:p>
        </w:tc>
        <w:tc>
          <w:tcPr>
            <w:tcW w:w="0" w:type="auto"/>
            <w:hideMark/>
          </w:tcPr>
          <w:p w14:paraId="635DEAED" w14:textId="77777777" w:rsidR="00260EA5" w:rsidRPr="005A3244" w:rsidRDefault="00260EA5" w:rsidP="00A324C9">
            <w:pPr>
              <w:jc w:val="center"/>
              <w:rPr>
                <w:sz w:val="24"/>
                <w:szCs w:val="24"/>
                <w:lang w:val="ru-RU" w:eastAsia="ru-RU"/>
              </w:rPr>
            </w:pPr>
            <w:r w:rsidRPr="005A3244">
              <w:rPr>
                <w:sz w:val="24"/>
                <w:szCs w:val="24"/>
                <w:lang w:val="ru-RU" w:eastAsia="ru-RU"/>
              </w:rPr>
              <w:t>2.72</w:t>
            </w:r>
          </w:p>
        </w:tc>
        <w:tc>
          <w:tcPr>
            <w:tcW w:w="0" w:type="auto"/>
            <w:hideMark/>
          </w:tcPr>
          <w:p w14:paraId="250A7C30" w14:textId="77777777" w:rsidR="00260EA5" w:rsidRPr="005A3244" w:rsidRDefault="00260EA5" w:rsidP="00A324C9">
            <w:pPr>
              <w:jc w:val="center"/>
              <w:rPr>
                <w:sz w:val="24"/>
                <w:szCs w:val="24"/>
                <w:lang w:val="ru-RU" w:eastAsia="ru-RU"/>
              </w:rPr>
            </w:pPr>
            <w:r w:rsidRPr="005A3244">
              <w:rPr>
                <w:sz w:val="24"/>
                <w:szCs w:val="24"/>
                <w:lang w:val="ru-RU" w:eastAsia="ru-RU"/>
              </w:rPr>
              <w:t>2.19</w:t>
            </w:r>
          </w:p>
        </w:tc>
        <w:tc>
          <w:tcPr>
            <w:tcW w:w="0" w:type="auto"/>
            <w:hideMark/>
          </w:tcPr>
          <w:p w14:paraId="1E4AFB1B" w14:textId="77777777" w:rsidR="00260EA5" w:rsidRPr="005A3244" w:rsidRDefault="00260EA5" w:rsidP="00A324C9">
            <w:pPr>
              <w:jc w:val="center"/>
              <w:rPr>
                <w:sz w:val="24"/>
                <w:szCs w:val="24"/>
                <w:lang w:val="ru-RU" w:eastAsia="ru-RU"/>
              </w:rPr>
            </w:pPr>
            <w:r w:rsidRPr="005A3244">
              <w:rPr>
                <w:sz w:val="24"/>
                <w:szCs w:val="24"/>
                <w:lang w:val="ru-RU" w:eastAsia="ru-RU"/>
              </w:rPr>
              <w:t>2.22</w:t>
            </w:r>
          </w:p>
        </w:tc>
      </w:tr>
      <w:tr w:rsidR="00260EA5" w:rsidRPr="005A3244" w14:paraId="28138797" w14:textId="77777777" w:rsidTr="00260EA5">
        <w:trPr>
          <w:trHeight w:val="280"/>
        </w:trPr>
        <w:tc>
          <w:tcPr>
            <w:tcW w:w="0" w:type="auto"/>
            <w:hideMark/>
          </w:tcPr>
          <w:p w14:paraId="5886B7BB" w14:textId="77777777" w:rsidR="00260EA5" w:rsidRPr="005A3244" w:rsidRDefault="00260EA5" w:rsidP="00A324C9">
            <w:pPr>
              <w:jc w:val="center"/>
              <w:rPr>
                <w:sz w:val="24"/>
                <w:szCs w:val="24"/>
                <w:lang w:val="ru-RU" w:eastAsia="ru-RU"/>
              </w:rPr>
            </w:pPr>
            <w:r w:rsidRPr="005A3244">
              <w:rPr>
                <w:sz w:val="24"/>
                <w:szCs w:val="24"/>
                <w:lang w:val="ru-RU" w:eastAsia="ru-RU"/>
              </w:rPr>
              <w:t>2</w:t>
            </w:r>
          </w:p>
        </w:tc>
        <w:tc>
          <w:tcPr>
            <w:tcW w:w="0" w:type="auto"/>
            <w:hideMark/>
          </w:tcPr>
          <w:p w14:paraId="43435BBF" w14:textId="03DA7519" w:rsidR="00260EA5" w:rsidRPr="005A3244" w:rsidRDefault="00260EA5" w:rsidP="00260EA5">
            <w:pPr>
              <w:rPr>
                <w:sz w:val="24"/>
                <w:szCs w:val="24"/>
                <w:lang w:val="ru-RU" w:eastAsia="ru-RU"/>
              </w:rPr>
            </w:pPr>
            <w:r w:rsidRPr="005A3244">
              <w:rPr>
                <w:sz w:val="24"/>
                <w:szCs w:val="24"/>
                <w:lang w:val="ru-RU" w:eastAsia="ru-RU"/>
              </w:rPr>
              <w:t>SiO₂</w:t>
            </w:r>
          </w:p>
        </w:tc>
        <w:tc>
          <w:tcPr>
            <w:tcW w:w="0" w:type="auto"/>
            <w:hideMark/>
          </w:tcPr>
          <w:p w14:paraId="0A238DED" w14:textId="77777777" w:rsidR="00260EA5" w:rsidRPr="005A3244" w:rsidRDefault="00260EA5" w:rsidP="00A324C9">
            <w:pPr>
              <w:jc w:val="center"/>
              <w:rPr>
                <w:sz w:val="24"/>
                <w:szCs w:val="24"/>
                <w:lang w:val="ru-RU" w:eastAsia="ru-RU"/>
              </w:rPr>
            </w:pPr>
            <w:r w:rsidRPr="005A3244">
              <w:rPr>
                <w:sz w:val="24"/>
                <w:szCs w:val="24"/>
                <w:lang w:val="ru-RU" w:eastAsia="ru-RU"/>
              </w:rPr>
              <w:t>0.0045</w:t>
            </w:r>
          </w:p>
        </w:tc>
        <w:tc>
          <w:tcPr>
            <w:tcW w:w="0" w:type="auto"/>
            <w:hideMark/>
          </w:tcPr>
          <w:p w14:paraId="110860EB" w14:textId="77777777" w:rsidR="00260EA5" w:rsidRPr="005A3244" w:rsidRDefault="00260EA5" w:rsidP="00A324C9">
            <w:pPr>
              <w:jc w:val="center"/>
              <w:rPr>
                <w:sz w:val="24"/>
                <w:szCs w:val="24"/>
                <w:lang w:val="ru-RU" w:eastAsia="ru-RU"/>
              </w:rPr>
            </w:pPr>
            <w:r w:rsidRPr="005A3244">
              <w:rPr>
                <w:sz w:val="24"/>
                <w:szCs w:val="24"/>
                <w:lang w:val="ru-RU" w:eastAsia="ru-RU"/>
              </w:rPr>
              <w:t>217.72</w:t>
            </w:r>
          </w:p>
        </w:tc>
        <w:tc>
          <w:tcPr>
            <w:tcW w:w="0" w:type="auto"/>
            <w:hideMark/>
          </w:tcPr>
          <w:p w14:paraId="097AC41B" w14:textId="77777777" w:rsidR="00260EA5" w:rsidRPr="005A3244" w:rsidRDefault="00260EA5" w:rsidP="00A324C9">
            <w:pPr>
              <w:jc w:val="center"/>
              <w:rPr>
                <w:sz w:val="24"/>
                <w:szCs w:val="24"/>
                <w:lang w:val="ru-RU" w:eastAsia="ru-RU"/>
              </w:rPr>
            </w:pPr>
            <w:r w:rsidRPr="005A3244">
              <w:rPr>
                <w:sz w:val="24"/>
                <w:szCs w:val="24"/>
                <w:lang w:val="ru-RU" w:eastAsia="ru-RU"/>
              </w:rPr>
              <w:t>15.80</w:t>
            </w:r>
          </w:p>
        </w:tc>
        <w:tc>
          <w:tcPr>
            <w:tcW w:w="0" w:type="auto"/>
            <w:hideMark/>
          </w:tcPr>
          <w:p w14:paraId="45C20425" w14:textId="77777777" w:rsidR="00260EA5" w:rsidRPr="005A3244" w:rsidRDefault="00260EA5" w:rsidP="00A324C9">
            <w:pPr>
              <w:jc w:val="center"/>
              <w:rPr>
                <w:sz w:val="24"/>
                <w:szCs w:val="24"/>
                <w:lang w:val="ru-RU" w:eastAsia="ru-RU"/>
              </w:rPr>
            </w:pPr>
            <w:r w:rsidRPr="005A3244">
              <w:rPr>
                <w:sz w:val="24"/>
                <w:szCs w:val="24"/>
                <w:lang w:val="ru-RU" w:eastAsia="ru-RU"/>
              </w:rPr>
              <w:t>4.98</w:t>
            </w:r>
          </w:p>
        </w:tc>
        <w:tc>
          <w:tcPr>
            <w:tcW w:w="0" w:type="auto"/>
            <w:hideMark/>
          </w:tcPr>
          <w:p w14:paraId="3F25CC18" w14:textId="77777777" w:rsidR="00260EA5" w:rsidRPr="005A3244" w:rsidRDefault="00260EA5" w:rsidP="00A324C9">
            <w:pPr>
              <w:jc w:val="center"/>
              <w:rPr>
                <w:sz w:val="24"/>
                <w:szCs w:val="24"/>
                <w:lang w:val="ru-RU" w:eastAsia="ru-RU"/>
              </w:rPr>
            </w:pPr>
            <w:r w:rsidRPr="005A3244">
              <w:rPr>
                <w:sz w:val="24"/>
                <w:szCs w:val="24"/>
                <w:lang w:val="ru-RU" w:eastAsia="ru-RU"/>
              </w:rPr>
              <w:t>5.80</w:t>
            </w:r>
          </w:p>
        </w:tc>
      </w:tr>
      <w:tr w:rsidR="00260EA5" w:rsidRPr="005A3244" w14:paraId="29979929" w14:textId="77777777" w:rsidTr="00260EA5">
        <w:trPr>
          <w:trHeight w:val="271"/>
        </w:trPr>
        <w:tc>
          <w:tcPr>
            <w:tcW w:w="0" w:type="auto"/>
            <w:hideMark/>
          </w:tcPr>
          <w:p w14:paraId="104581A7" w14:textId="77777777" w:rsidR="00260EA5" w:rsidRPr="005A3244" w:rsidRDefault="00260EA5" w:rsidP="00A324C9">
            <w:pPr>
              <w:jc w:val="center"/>
              <w:rPr>
                <w:sz w:val="24"/>
                <w:szCs w:val="24"/>
                <w:lang w:val="ru-RU" w:eastAsia="ru-RU"/>
              </w:rPr>
            </w:pPr>
            <w:r w:rsidRPr="005A3244">
              <w:rPr>
                <w:sz w:val="24"/>
                <w:szCs w:val="24"/>
                <w:lang w:val="ru-RU" w:eastAsia="ru-RU"/>
              </w:rPr>
              <w:t>3</w:t>
            </w:r>
          </w:p>
        </w:tc>
        <w:tc>
          <w:tcPr>
            <w:tcW w:w="0" w:type="auto"/>
            <w:hideMark/>
          </w:tcPr>
          <w:p w14:paraId="558B9652" w14:textId="77777777" w:rsidR="00260EA5" w:rsidRPr="005A3244" w:rsidRDefault="00260EA5" w:rsidP="00260EA5">
            <w:pPr>
              <w:rPr>
                <w:sz w:val="24"/>
                <w:szCs w:val="24"/>
                <w:lang w:val="ru-RU" w:eastAsia="ru-RU"/>
              </w:rPr>
            </w:pPr>
            <w:r w:rsidRPr="005A3244">
              <w:rPr>
                <w:sz w:val="24"/>
                <w:szCs w:val="24"/>
                <w:lang w:val="ru-RU" w:eastAsia="ru-RU"/>
              </w:rPr>
              <w:t>PAN–SiO₂ (1:1)</w:t>
            </w:r>
          </w:p>
        </w:tc>
        <w:tc>
          <w:tcPr>
            <w:tcW w:w="0" w:type="auto"/>
            <w:hideMark/>
          </w:tcPr>
          <w:p w14:paraId="67129989" w14:textId="77777777" w:rsidR="00260EA5" w:rsidRPr="005A3244" w:rsidRDefault="00260EA5" w:rsidP="00A324C9">
            <w:pPr>
              <w:jc w:val="center"/>
              <w:rPr>
                <w:sz w:val="24"/>
                <w:szCs w:val="24"/>
                <w:lang w:val="ru-RU" w:eastAsia="ru-RU"/>
              </w:rPr>
            </w:pPr>
            <w:r w:rsidRPr="005A3244">
              <w:rPr>
                <w:sz w:val="24"/>
                <w:szCs w:val="24"/>
                <w:lang w:val="ru-RU" w:eastAsia="ru-RU"/>
              </w:rPr>
              <w:t>0.0024</w:t>
            </w:r>
          </w:p>
        </w:tc>
        <w:tc>
          <w:tcPr>
            <w:tcW w:w="0" w:type="auto"/>
            <w:hideMark/>
          </w:tcPr>
          <w:p w14:paraId="4F98FD20" w14:textId="77777777" w:rsidR="00260EA5" w:rsidRPr="005A3244" w:rsidRDefault="00260EA5" w:rsidP="00A324C9">
            <w:pPr>
              <w:jc w:val="center"/>
              <w:rPr>
                <w:sz w:val="24"/>
                <w:szCs w:val="24"/>
                <w:lang w:val="ru-RU" w:eastAsia="ru-RU"/>
              </w:rPr>
            </w:pPr>
            <w:r w:rsidRPr="005A3244">
              <w:rPr>
                <w:sz w:val="24"/>
                <w:szCs w:val="24"/>
                <w:lang w:val="ru-RU" w:eastAsia="ru-RU"/>
              </w:rPr>
              <w:t>163.70</w:t>
            </w:r>
          </w:p>
        </w:tc>
        <w:tc>
          <w:tcPr>
            <w:tcW w:w="0" w:type="auto"/>
            <w:hideMark/>
          </w:tcPr>
          <w:p w14:paraId="3B33A518" w14:textId="77777777" w:rsidR="00260EA5" w:rsidRPr="005A3244" w:rsidRDefault="00260EA5" w:rsidP="00A324C9">
            <w:pPr>
              <w:jc w:val="center"/>
              <w:rPr>
                <w:sz w:val="24"/>
                <w:szCs w:val="24"/>
                <w:lang w:val="ru-RU" w:eastAsia="ru-RU"/>
              </w:rPr>
            </w:pPr>
            <w:r w:rsidRPr="005A3244">
              <w:rPr>
                <w:sz w:val="24"/>
                <w:szCs w:val="24"/>
                <w:lang w:val="ru-RU" w:eastAsia="ru-RU"/>
              </w:rPr>
              <w:t>8.43</w:t>
            </w:r>
          </w:p>
        </w:tc>
        <w:tc>
          <w:tcPr>
            <w:tcW w:w="0" w:type="auto"/>
            <w:hideMark/>
          </w:tcPr>
          <w:p w14:paraId="475155D9" w14:textId="77777777" w:rsidR="00260EA5" w:rsidRPr="005A3244" w:rsidRDefault="00260EA5" w:rsidP="00A324C9">
            <w:pPr>
              <w:jc w:val="center"/>
              <w:rPr>
                <w:sz w:val="24"/>
                <w:szCs w:val="24"/>
                <w:lang w:val="ru-RU" w:eastAsia="ru-RU"/>
              </w:rPr>
            </w:pPr>
            <w:r w:rsidRPr="005A3244">
              <w:rPr>
                <w:sz w:val="24"/>
                <w:szCs w:val="24"/>
                <w:lang w:val="ru-RU" w:eastAsia="ru-RU"/>
              </w:rPr>
              <w:t>4.11</w:t>
            </w:r>
          </w:p>
        </w:tc>
        <w:tc>
          <w:tcPr>
            <w:tcW w:w="0" w:type="auto"/>
            <w:hideMark/>
          </w:tcPr>
          <w:p w14:paraId="16572E4A" w14:textId="77777777" w:rsidR="00260EA5" w:rsidRPr="005A3244" w:rsidRDefault="00260EA5" w:rsidP="00A324C9">
            <w:pPr>
              <w:jc w:val="center"/>
              <w:rPr>
                <w:sz w:val="24"/>
                <w:szCs w:val="24"/>
                <w:lang w:val="ru-RU" w:eastAsia="ru-RU"/>
              </w:rPr>
            </w:pPr>
            <w:r w:rsidRPr="005A3244">
              <w:rPr>
                <w:sz w:val="24"/>
                <w:szCs w:val="24"/>
                <w:lang w:val="ru-RU" w:eastAsia="ru-RU"/>
              </w:rPr>
              <w:t>4.36</w:t>
            </w:r>
          </w:p>
        </w:tc>
      </w:tr>
      <w:tr w:rsidR="00260EA5" w:rsidRPr="005A3244" w14:paraId="11E6E885" w14:textId="77777777" w:rsidTr="00260EA5">
        <w:trPr>
          <w:trHeight w:val="271"/>
        </w:trPr>
        <w:tc>
          <w:tcPr>
            <w:tcW w:w="0" w:type="auto"/>
            <w:hideMark/>
          </w:tcPr>
          <w:p w14:paraId="37DB904A" w14:textId="77777777" w:rsidR="00260EA5" w:rsidRPr="005A3244" w:rsidRDefault="00260EA5" w:rsidP="00A324C9">
            <w:pPr>
              <w:jc w:val="center"/>
              <w:rPr>
                <w:sz w:val="24"/>
                <w:szCs w:val="24"/>
                <w:lang w:val="ru-RU" w:eastAsia="ru-RU"/>
              </w:rPr>
            </w:pPr>
            <w:r w:rsidRPr="005A3244">
              <w:rPr>
                <w:sz w:val="24"/>
                <w:szCs w:val="24"/>
                <w:lang w:val="ru-RU" w:eastAsia="ru-RU"/>
              </w:rPr>
              <w:t>4</w:t>
            </w:r>
          </w:p>
        </w:tc>
        <w:tc>
          <w:tcPr>
            <w:tcW w:w="0" w:type="auto"/>
            <w:hideMark/>
          </w:tcPr>
          <w:p w14:paraId="7D3B2AEA" w14:textId="77777777" w:rsidR="00260EA5" w:rsidRPr="005A3244" w:rsidRDefault="00260EA5" w:rsidP="00260EA5">
            <w:pPr>
              <w:rPr>
                <w:sz w:val="24"/>
                <w:szCs w:val="24"/>
                <w:lang w:val="ru-RU" w:eastAsia="ru-RU"/>
              </w:rPr>
            </w:pPr>
            <w:r w:rsidRPr="005A3244">
              <w:rPr>
                <w:sz w:val="24"/>
                <w:szCs w:val="24"/>
                <w:lang w:val="ru-RU" w:eastAsia="ru-RU"/>
              </w:rPr>
              <w:t>PAN–SiO₂ (1:2)</w:t>
            </w:r>
          </w:p>
        </w:tc>
        <w:tc>
          <w:tcPr>
            <w:tcW w:w="0" w:type="auto"/>
            <w:hideMark/>
          </w:tcPr>
          <w:p w14:paraId="61EA5083" w14:textId="77777777" w:rsidR="00260EA5" w:rsidRPr="005A3244" w:rsidRDefault="00260EA5" w:rsidP="00A324C9">
            <w:pPr>
              <w:jc w:val="center"/>
              <w:rPr>
                <w:sz w:val="24"/>
                <w:szCs w:val="24"/>
                <w:lang w:val="ru-RU" w:eastAsia="ru-RU"/>
              </w:rPr>
            </w:pPr>
            <w:r w:rsidRPr="005A3244">
              <w:rPr>
                <w:sz w:val="24"/>
                <w:szCs w:val="24"/>
                <w:lang w:val="ru-RU" w:eastAsia="ru-RU"/>
              </w:rPr>
              <w:t>0.0025</w:t>
            </w:r>
          </w:p>
        </w:tc>
        <w:tc>
          <w:tcPr>
            <w:tcW w:w="0" w:type="auto"/>
            <w:hideMark/>
          </w:tcPr>
          <w:p w14:paraId="751F9504" w14:textId="77777777" w:rsidR="00260EA5" w:rsidRPr="005A3244" w:rsidRDefault="00260EA5" w:rsidP="00A324C9">
            <w:pPr>
              <w:jc w:val="center"/>
              <w:rPr>
                <w:sz w:val="24"/>
                <w:szCs w:val="24"/>
                <w:lang w:val="ru-RU" w:eastAsia="ru-RU"/>
              </w:rPr>
            </w:pPr>
            <w:r w:rsidRPr="005A3244">
              <w:rPr>
                <w:sz w:val="24"/>
                <w:szCs w:val="24"/>
                <w:lang w:val="ru-RU" w:eastAsia="ru-RU"/>
              </w:rPr>
              <w:t>182.23</w:t>
            </w:r>
          </w:p>
        </w:tc>
        <w:tc>
          <w:tcPr>
            <w:tcW w:w="0" w:type="auto"/>
            <w:hideMark/>
          </w:tcPr>
          <w:p w14:paraId="57A4BC14" w14:textId="77777777" w:rsidR="00260EA5" w:rsidRPr="005A3244" w:rsidRDefault="00260EA5" w:rsidP="00A324C9">
            <w:pPr>
              <w:jc w:val="center"/>
              <w:rPr>
                <w:sz w:val="24"/>
                <w:szCs w:val="24"/>
                <w:lang w:val="ru-RU" w:eastAsia="ru-RU"/>
              </w:rPr>
            </w:pPr>
            <w:r w:rsidRPr="005A3244">
              <w:rPr>
                <w:sz w:val="24"/>
                <w:szCs w:val="24"/>
                <w:lang w:val="ru-RU" w:eastAsia="ru-RU"/>
              </w:rPr>
              <w:t>8.78</w:t>
            </w:r>
          </w:p>
        </w:tc>
        <w:tc>
          <w:tcPr>
            <w:tcW w:w="0" w:type="auto"/>
            <w:hideMark/>
          </w:tcPr>
          <w:p w14:paraId="65D02E65" w14:textId="77777777" w:rsidR="00260EA5" w:rsidRPr="005A3244" w:rsidRDefault="00260EA5" w:rsidP="00A324C9">
            <w:pPr>
              <w:jc w:val="center"/>
              <w:rPr>
                <w:sz w:val="24"/>
                <w:szCs w:val="24"/>
                <w:lang w:val="ru-RU" w:eastAsia="ru-RU"/>
              </w:rPr>
            </w:pPr>
            <w:r w:rsidRPr="005A3244">
              <w:rPr>
                <w:sz w:val="24"/>
                <w:szCs w:val="24"/>
                <w:lang w:val="ru-RU" w:eastAsia="ru-RU"/>
              </w:rPr>
              <w:t>4.27</w:t>
            </w:r>
          </w:p>
        </w:tc>
        <w:tc>
          <w:tcPr>
            <w:tcW w:w="0" w:type="auto"/>
            <w:hideMark/>
          </w:tcPr>
          <w:p w14:paraId="7E90BE71" w14:textId="77777777" w:rsidR="00260EA5" w:rsidRPr="005A3244" w:rsidRDefault="00260EA5" w:rsidP="00A324C9">
            <w:pPr>
              <w:jc w:val="center"/>
              <w:rPr>
                <w:sz w:val="24"/>
                <w:szCs w:val="24"/>
                <w:lang w:val="ru-RU" w:eastAsia="ru-RU"/>
              </w:rPr>
            </w:pPr>
            <w:r w:rsidRPr="005A3244">
              <w:rPr>
                <w:sz w:val="24"/>
                <w:szCs w:val="24"/>
                <w:lang w:val="ru-RU" w:eastAsia="ru-RU"/>
              </w:rPr>
              <w:t>4.65</w:t>
            </w:r>
          </w:p>
        </w:tc>
      </w:tr>
      <w:tr w:rsidR="00260EA5" w:rsidRPr="005A3244" w14:paraId="55D2C4F7" w14:textId="77777777" w:rsidTr="00260EA5">
        <w:trPr>
          <w:trHeight w:val="280"/>
        </w:trPr>
        <w:tc>
          <w:tcPr>
            <w:tcW w:w="0" w:type="auto"/>
            <w:hideMark/>
          </w:tcPr>
          <w:p w14:paraId="6272E658" w14:textId="77777777" w:rsidR="00260EA5" w:rsidRPr="005A3244" w:rsidRDefault="00260EA5" w:rsidP="00A324C9">
            <w:pPr>
              <w:jc w:val="center"/>
              <w:rPr>
                <w:sz w:val="24"/>
                <w:szCs w:val="24"/>
                <w:lang w:val="ru-RU" w:eastAsia="ru-RU"/>
              </w:rPr>
            </w:pPr>
            <w:r w:rsidRPr="005A3244">
              <w:rPr>
                <w:sz w:val="24"/>
                <w:szCs w:val="24"/>
                <w:lang w:val="ru-RU" w:eastAsia="ru-RU"/>
              </w:rPr>
              <w:t>5</w:t>
            </w:r>
          </w:p>
        </w:tc>
        <w:tc>
          <w:tcPr>
            <w:tcW w:w="0" w:type="auto"/>
            <w:hideMark/>
          </w:tcPr>
          <w:p w14:paraId="6CFBA85D" w14:textId="77777777" w:rsidR="00260EA5" w:rsidRPr="005A3244" w:rsidRDefault="00260EA5" w:rsidP="00260EA5">
            <w:pPr>
              <w:rPr>
                <w:sz w:val="24"/>
                <w:szCs w:val="24"/>
                <w:lang w:val="ru-RU" w:eastAsia="ru-RU"/>
              </w:rPr>
            </w:pPr>
            <w:r w:rsidRPr="005A3244">
              <w:rPr>
                <w:sz w:val="24"/>
                <w:szCs w:val="24"/>
                <w:lang w:val="ru-RU" w:eastAsia="ru-RU"/>
              </w:rPr>
              <w:t>PAN–SiO₂ (1:3)</w:t>
            </w:r>
          </w:p>
        </w:tc>
        <w:tc>
          <w:tcPr>
            <w:tcW w:w="0" w:type="auto"/>
            <w:hideMark/>
          </w:tcPr>
          <w:p w14:paraId="0D76F54B" w14:textId="77777777" w:rsidR="00260EA5" w:rsidRPr="005A3244" w:rsidRDefault="00260EA5" w:rsidP="00A324C9">
            <w:pPr>
              <w:jc w:val="center"/>
              <w:rPr>
                <w:sz w:val="24"/>
                <w:szCs w:val="24"/>
                <w:lang w:val="ru-RU" w:eastAsia="ru-RU"/>
              </w:rPr>
            </w:pPr>
            <w:r w:rsidRPr="005A3244">
              <w:rPr>
                <w:bCs/>
                <w:sz w:val="24"/>
                <w:szCs w:val="24"/>
                <w:lang w:val="ru-RU" w:eastAsia="ru-RU"/>
              </w:rPr>
              <w:t>0.0097</w:t>
            </w:r>
          </w:p>
        </w:tc>
        <w:tc>
          <w:tcPr>
            <w:tcW w:w="0" w:type="auto"/>
            <w:hideMark/>
          </w:tcPr>
          <w:p w14:paraId="27ACFB51" w14:textId="77777777" w:rsidR="00260EA5" w:rsidRPr="005A3244" w:rsidRDefault="00260EA5" w:rsidP="00A324C9">
            <w:pPr>
              <w:jc w:val="center"/>
              <w:rPr>
                <w:sz w:val="24"/>
                <w:szCs w:val="24"/>
                <w:lang w:val="ru-RU" w:eastAsia="ru-RU"/>
              </w:rPr>
            </w:pPr>
            <w:r w:rsidRPr="005A3244">
              <w:rPr>
                <w:bCs/>
                <w:sz w:val="24"/>
                <w:szCs w:val="24"/>
                <w:lang w:val="ru-RU" w:eastAsia="ru-RU"/>
              </w:rPr>
              <w:t>111.54</w:t>
            </w:r>
          </w:p>
        </w:tc>
        <w:tc>
          <w:tcPr>
            <w:tcW w:w="0" w:type="auto"/>
            <w:hideMark/>
          </w:tcPr>
          <w:p w14:paraId="32320754" w14:textId="77777777" w:rsidR="00260EA5" w:rsidRPr="005A3244" w:rsidRDefault="00260EA5" w:rsidP="00A324C9">
            <w:pPr>
              <w:jc w:val="center"/>
              <w:rPr>
                <w:sz w:val="24"/>
                <w:szCs w:val="24"/>
                <w:lang w:val="ru-RU" w:eastAsia="ru-RU"/>
              </w:rPr>
            </w:pPr>
            <w:r w:rsidRPr="005A3244">
              <w:rPr>
                <w:bCs/>
                <w:sz w:val="24"/>
                <w:szCs w:val="24"/>
                <w:lang w:val="ru-RU" w:eastAsia="ru-RU"/>
              </w:rPr>
              <w:t>34.07</w:t>
            </w:r>
          </w:p>
        </w:tc>
        <w:tc>
          <w:tcPr>
            <w:tcW w:w="0" w:type="auto"/>
            <w:hideMark/>
          </w:tcPr>
          <w:p w14:paraId="444FDE22" w14:textId="77777777" w:rsidR="00260EA5" w:rsidRPr="005A3244" w:rsidRDefault="00260EA5" w:rsidP="00A324C9">
            <w:pPr>
              <w:jc w:val="center"/>
              <w:rPr>
                <w:sz w:val="24"/>
                <w:szCs w:val="24"/>
                <w:lang w:val="ru-RU" w:eastAsia="ru-RU"/>
              </w:rPr>
            </w:pPr>
            <w:r w:rsidRPr="005A3244">
              <w:rPr>
                <w:bCs/>
                <w:sz w:val="24"/>
                <w:szCs w:val="24"/>
                <w:lang w:val="ru-RU" w:eastAsia="ru-RU"/>
              </w:rPr>
              <w:t>6.32</w:t>
            </w:r>
          </w:p>
        </w:tc>
        <w:tc>
          <w:tcPr>
            <w:tcW w:w="0" w:type="auto"/>
            <w:hideMark/>
          </w:tcPr>
          <w:p w14:paraId="4709962B" w14:textId="77777777" w:rsidR="00260EA5" w:rsidRPr="005A3244" w:rsidRDefault="00260EA5" w:rsidP="00A324C9">
            <w:pPr>
              <w:jc w:val="center"/>
              <w:rPr>
                <w:sz w:val="24"/>
                <w:szCs w:val="24"/>
                <w:lang w:val="ru-RU" w:eastAsia="ru-RU"/>
              </w:rPr>
            </w:pPr>
            <w:r w:rsidRPr="005A3244">
              <w:rPr>
                <w:bCs/>
                <w:sz w:val="24"/>
                <w:szCs w:val="24"/>
                <w:lang w:val="ru-RU" w:eastAsia="ru-RU"/>
              </w:rPr>
              <w:t>7.40</w:t>
            </w:r>
          </w:p>
        </w:tc>
      </w:tr>
      <w:tr w:rsidR="00260EA5" w:rsidRPr="005A3244" w14:paraId="5169E5DC" w14:textId="77777777" w:rsidTr="00260EA5">
        <w:trPr>
          <w:trHeight w:val="271"/>
        </w:trPr>
        <w:tc>
          <w:tcPr>
            <w:tcW w:w="0" w:type="auto"/>
            <w:hideMark/>
          </w:tcPr>
          <w:p w14:paraId="11DB0D4D" w14:textId="77777777" w:rsidR="00260EA5" w:rsidRPr="005A3244" w:rsidRDefault="00260EA5" w:rsidP="00A324C9">
            <w:pPr>
              <w:jc w:val="center"/>
              <w:rPr>
                <w:sz w:val="24"/>
                <w:szCs w:val="24"/>
                <w:lang w:val="ru-RU" w:eastAsia="ru-RU"/>
              </w:rPr>
            </w:pPr>
            <w:r w:rsidRPr="005A3244">
              <w:rPr>
                <w:sz w:val="24"/>
                <w:szCs w:val="24"/>
                <w:lang w:val="ru-RU" w:eastAsia="ru-RU"/>
              </w:rPr>
              <w:t>6</w:t>
            </w:r>
          </w:p>
        </w:tc>
        <w:tc>
          <w:tcPr>
            <w:tcW w:w="0" w:type="auto"/>
            <w:hideMark/>
          </w:tcPr>
          <w:p w14:paraId="1B9A0716" w14:textId="77777777" w:rsidR="00260EA5" w:rsidRPr="005A3244" w:rsidRDefault="00260EA5" w:rsidP="00260EA5">
            <w:pPr>
              <w:rPr>
                <w:sz w:val="24"/>
                <w:szCs w:val="24"/>
                <w:lang w:val="ru-RU" w:eastAsia="ru-RU"/>
              </w:rPr>
            </w:pPr>
            <w:r w:rsidRPr="005A3244">
              <w:rPr>
                <w:sz w:val="24"/>
                <w:szCs w:val="24"/>
                <w:lang w:val="ru-RU" w:eastAsia="ru-RU"/>
              </w:rPr>
              <w:t>PAN–SiO₂ (1:4)</w:t>
            </w:r>
          </w:p>
        </w:tc>
        <w:tc>
          <w:tcPr>
            <w:tcW w:w="0" w:type="auto"/>
            <w:hideMark/>
          </w:tcPr>
          <w:p w14:paraId="7F0E8EBC" w14:textId="77777777" w:rsidR="00260EA5" w:rsidRPr="005A3244" w:rsidRDefault="00260EA5" w:rsidP="00A324C9">
            <w:pPr>
              <w:jc w:val="center"/>
              <w:rPr>
                <w:sz w:val="24"/>
                <w:szCs w:val="24"/>
                <w:lang w:val="ru-RU" w:eastAsia="ru-RU"/>
              </w:rPr>
            </w:pPr>
            <w:r w:rsidRPr="005A3244">
              <w:rPr>
                <w:sz w:val="24"/>
                <w:szCs w:val="24"/>
                <w:lang w:val="ru-RU" w:eastAsia="ru-RU"/>
              </w:rPr>
              <w:t>0.0041</w:t>
            </w:r>
          </w:p>
        </w:tc>
        <w:tc>
          <w:tcPr>
            <w:tcW w:w="0" w:type="auto"/>
            <w:hideMark/>
          </w:tcPr>
          <w:p w14:paraId="6C86C7E4" w14:textId="77777777" w:rsidR="00260EA5" w:rsidRPr="005A3244" w:rsidRDefault="00260EA5" w:rsidP="00A324C9">
            <w:pPr>
              <w:jc w:val="center"/>
              <w:rPr>
                <w:sz w:val="24"/>
                <w:szCs w:val="24"/>
                <w:lang w:val="ru-RU" w:eastAsia="ru-RU"/>
              </w:rPr>
            </w:pPr>
            <w:r w:rsidRPr="005A3244">
              <w:rPr>
                <w:sz w:val="24"/>
                <w:szCs w:val="24"/>
                <w:lang w:val="ru-RU" w:eastAsia="ru-RU"/>
              </w:rPr>
              <w:t>108.33</w:t>
            </w:r>
          </w:p>
        </w:tc>
        <w:tc>
          <w:tcPr>
            <w:tcW w:w="0" w:type="auto"/>
            <w:hideMark/>
          </w:tcPr>
          <w:p w14:paraId="09AF70F0" w14:textId="77777777" w:rsidR="00260EA5" w:rsidRPr="005A3244" w:rsidRDefault="00260EA5" w:rsidP="00A324C9">
            <w:pPr>
              <w:jc w:val="center"/>
              <w:rPr>
                <w:sz w:val="24"/>
                <w:szCs w:val="24"/>
                <w:lang w:val="ru-RU" w:eastAsia="ru-RU"/>
              </w:rPr>
            </w:pPr>
            <w:r w:rsidRPr="005A3244">
              <w:rPr>
                <w:sz w:val="24"/>
                <w:szCs w:val="24"/>
                <w:lang w:val="ru-RU" w:eastAsia="ru-RU"/>
              </w:rPr>
              <w:t>14.40</w:t>
            </w:r>
          </w:p>
        </w:tc>
        <w:tc>
          <w:tcPr>
            <w:tcW w:w="0" w:type="auto"/>
            <w:hideMark/>
          </w:tcPr>
          <w:p w14:paraId="2A8C6B73" w14:textId="77777777" w:rsidR="00260EA5" w:rsidRPr="005A3244" w:rsidRDefault="00260EA5" w:rsidP="00A324C9">
            <w:pPr>
              <w:jc w:val="center"/>
              <w:rPr>
                <w:sz w:val="24"/>
                <w:szCs w:val="24"/>
                <w:lang w:val="ru-RU" w:eastAsia="ru-RU"/>
              </w:rPr>
            </w:pPr>
            <w:r w:rsidRPr="005A3244">
              <w:rPr>
                <w:sz w:val="24"/>
                <w:szCs w:val="24"/>
                <w:lang w:val="ru-RU" w:eastAsia="ru-RU"/>
              </w:rPr>
              <w:t>3.16</w:t>
            </w:r>
          </w:p>
        </w:tc>
        <w:tc>
          <w:tcPr>
            <w:tcW w:w="0" w:type="auto"/>
            <w:hideMark/>
          </w:tcPr>
          <w:p w14:paraId="6802E075" w14:textId="77777777" w:rsidR="00260EA5" w:rsidRPr="005A3244" w:rsidRDefault="00260EA5" w:rsidP="00A324C9">
            <w:pPr>
              <w:jc w:val="center"/>
              <w:rPr>
                <w:sz w:val="24"/>
                <w:szCs w:val="24"/>
                <w:lang w:val="ru-RU" w:eastAsia="ru-RU"/>
              </w:rPr>
            </w:pPr>
            <w:r w:rsidRPr="005A3244">
              <w:rPr>
                <w:sz w:val="24"/>
                <w:szCs w:val="24"/>
                <w:lang w:val="ru-RU" w:eastAsia="ru-RU"/>
              </w:rPr>
              <w:t>3.40</w:t>
            </w:r>
          </w:p>
        </w:tc>
      </w:tr>
      <w:tr w:rsidR="00260EA5" w:rsidRPr="005A3244" w14:paraId="356E0A24" w14:textId="77777777" w:rsidTr="00260EA5">
        <w:trPr>
          <w:trHeight w:val="280"/>
        </w:trPr>
        <w:tc>
          <w:tcPr>
            <w:tcW w:w="0" w:type="auto"/>
            <w:hideMark/>
          </w:tcPr>
          <w:p w14:paraId="66A3FE57" w14:textId="77777777" w:rsidR="00260EA5" w:rsidRPr="005A3244" w:rsidRDefault="00260EA5" w:rsidP="00A324C9">
            <w:pPr>
              <w:jc w:val="center"/>
              <w:rPr>
                <w:sz w:val="24"/>
                <w:szCs w:val="24"/>
                <w:lang w:val="ru-RU" w:eastAsia="ru-RU"/>
              </w:rPr>
            </w:pPr>
            <w:r w:rsidRPr="005A3244">
              <w:rPr>
                <w:sz w:val="24"/>
                <w:szCs w:val="24"/>
                <w:lang w:val="ru-RU" w:eastAsia="ru-RU"/>
              </w:rPr>
              <w:t>7</w:t>
            </w:r>
          </w:p>
        </w:tc>
        <w:tc>
          <w:tcPr>
            <w:tcW w:w="0" w:type="auto"/>
            <w:hideMark/>
          </w:tcPr>
          <w:p w14:paraId="3C612C24" w14:textId="77777777" w:rsidR="00260EA5" w:rsidRPr="005A3244" w:rsidRDefault="00260EA5" w:rsidP="00260EA5">
            <w:pPr>
              <w:rPr>
                <w:sz w:val="24"/>
                <w:szCs w:val="24"/>
                <w:lang w:val="ru-RU" w:eastAsia="ru-RU"/>
              </w:rPr>
            </w:pPr>
            <w:r w:rsidRPr="005A3244">
              <w:rPr>
                <w:sz w:val="24"/>
                <w:szCs w:val="24"/>
                <w:lang w:val="ru-RU" w:eastAsia="ru-RU"/>
              </w:rPr>
              <w:t>SiO₂ + 2 wt.% PAN</w:t>
            </w:r>
          </w:p>
        </w:tc>
        <w:tc>
          <w:tcPr>
            <w:tcW w:w="0" w:type="auto"/>
            <w:hideMark/>
          </w:tcPr>
          <w:p w14:paraId="76E7476D" w14:textId="77777777" w:rsidR="00260EA5" w:rsidRPr="005A3244" w:rsidRDefault="00260EA5" w:rsidP="00A324C9">
            <w:pPr>
              <w:jc w:val="center"/>
              <w:rPr>
                <w:sz w:val="24"/>
                <w:szCs w:val="24"/>
                <w:lang w:val="ru-RU" w:eastAsia="ru-RU"/>
              </w:rPr>
            </w:pPr>
            <w:r w:rsidRPr="005A3244">
              <w:rPr>
                <w:sz w:val="24"/>
                <w:szCs w:val="24"/>
                <w:lang w:val="ru-RU" w:eastAsia="ru-RU"/>
              </w:rPr>
              <w:t>0.0060</w:t>
            </w:r>
          </w:p>
        </w:tc>
        <w:tc>
          <w:tcPr>
            <w:tcW w:w="0" w:type="auto"/>
            <w:hideMark/>
          </w:tcPr>
          <w:p w14:paraId="21AC2573" w14:textId="77777777" w:rsidR="00260EA5" w:rsidRPr="005A3244" w:rsidRDefault="00260EA5" w:rsidP="00A324C9">
            <w:pPr>
              <w:jc w:val="center"/>
              <w:rPr>
                <w:sz w:val="24"/>
                <w:szCs w:val="24"/>
                <w:lang w:val="ru-RU" w:eastAsia="ru-RU"/>
              </w:rPr>
            </w:pPr>
            <w:r w:rsidRPr="005A3244">
              <w:rPr>
                <w:sz w:val="24"/>
                <w:szCs w:val="24"/>
                <w:lang w:val="ru-RU" w:eastAsia="ru-RU"/>
              </w:rPr>
              <w:t>42.71</w:t>
            </w:r>
          </w:p>
        </w:tc>
        <w:tc>
          <w:tcPr>
            <w:tcW w:w="0" w:type="auto"/>
            <w:hideMark/>
          </w:tcPr>
          <w:p w14:paraId="64256233" w14:textId="77777777" w:rsidR="00260EA5" w:rsidRPr="005A3244" w:rsidRDefault="00260EA5" w:rsidP="00A324C9">
            <w:pPr>
              <w:jc w:val="center"/>
              <w:rPr>
                <w:sz w:val="24"/>
                <w:szCs w:val="24"/>
                <w:lang w:val="ru-RU" w:eastAsia="ru-RU"/>
              </w:rPr>
            </w:pPr>
            <w:r w:rsidRPr="005A3244">
              <w:rPr>
                <w:sz w:val="24"/>
                <w:szCs w:val="24"/>
                <w:lang w:val="ru-RU" w:eastAsia="ru-RU"/>
              </w:rPr>
              <w:t>21.07</w:t>
            </w:r>
          </w:p>
        </w:tc>
        <w:tc>
          <w:tcPr>
            <w:tcW w:w="0" w:type="auto"/>
            <w:hideMark/>
          </w:tcPr>
          <w:p w14:paraId="09352BED" w14:textId="77777777" w:rsidR="00260EA5" w:rsidRPr="005A3244" w:rsidRDefault="00260EA5" w:rsidP="00A324C9">
            <w:pPr>
              <w:jc w:val="center"/>
              <w:rPr>
                <w:sz w:val="24"/>
                <w:szCs w:val="24"/>
                <w:lang w:val="ru-RU" w:eastAsia="ru-RU"/>
              </w:rPr>
            </w:pPr>
            <w:r w:rsidRPr="005A3244">
              <w:rPr>
                <w:sz w:val="24"/>
                <w:szCs w:val="24"/>
                <w:lang w:val="ru-RU" w:eastAsia="ru-RU"/>
              </w:rPr>
              <w:t>3.58</w:t>
            </w:r>
          </w:p>
        </w:tc>
        <w:tc>
          <w:tcPr>
            <w:tcW w:w="0" w:type="auto"/>
            <w:hideMark/>
          </w:tcPr>
          <w:p w14:paraId="57E2DE11" w14:textId="77777777" w:rsidR="00260EA5" w:rsidRPr="005A3244" w:rsidRDefault="00260EA5" w:rsidP="00A324C9">
            <w:pPr>
              <w:jc w:val="center"/>
              <w:rPr>
                <w:sz w:val="24"/>
                <w:szCs w:val="24"/>
                <w:lang w:val="ru-RU" w:eastAsia="ru-RU"/>
              </w:rPr>
            </w:pPr>
            <w:r w:rsidRPr="005A3244">
              <w:rPr>
                <w:sz w:val="24"/>
                <w:szCs w:val="24"/>
                <w:lang w:val="ru-RU" w:eastAsia="ru-RU"/>
              </w:rPr>
              <w:t>3.75</w:t>
            </w:r>
          </w:p>
        </w:tc>
      </w:tr>
    </w:tbl>
    <w:p w14:paraId="07F7F96C" w14:textId="77777777" w:rsidR="003427F2" w:rsidRDefault="003427F2" w:rsidP="000C2EA3">
      <w:pPr>
        <w:ind w:firstLine="567"/>
        <w:rPr>
          <w:rFonts w:cs="Times New Roman"/>
          <w:bCs/>
          <w:sz w:val="24"/>
          <w:szCs w:val="24"/>
          <w:lang w:val="en-US"/>
        </w:rPr>
      </w:pPr>
    </w:p>
    <w:p w14:paraId="63D894F0" w14:textId="77777777" w:rsidR="000C2EA3" w:rsidRPr="005A3244" w:rsidRDefault="000C2EA3" w:rsidP="000C2EA3">
      <w:pPr>
        <w:ind w:firstLine="567"/>
        <w:rPr>
          <w:rFonts w:cs="Times New Roman"/>
          <w:bCs/>
          <w:sz w:val="24"/>
          <w:szCs w:val="24"/>
          <w:lang w:val="en-US"/>
        </w:rPr>
      </w:pPr>
      <w:r w:rsidRPr="005A3244">
        <w:rPr>
          <w:rFonts w:cs="Times New Roman"/>
          <w:bCs/>
          <w:sz w:val="24"/>
          <w:szCs w:val="24"/>
          <w:lang w:val="en-US"/>
        </w:rPr>
        <w:t>The pore structure parameters show notable differences compared to benzene adsorption. While silica exhibits a large average pore radius (~217 Å), the hybrid systems display optimized pore sizes (111–182 Å), with the PAN:SiO₂ = 1:3 composition again showing the most favorable balance between pore size and surface area.</w:t>
      </w:r>
    </w:p>
    <w:p w14:paraId="70FAA0E5" w14:textId="77777777" w:rsidR="000C2EA3" w:rsidRPr="005A3244" w:rsidRDefault="000C2EA3" w:rsidP="000C2EA3">
      <w:pPr>
        <w:ind w:firstLine="567"/>
        <w:rPr>
          <w:rFonts w:cs="Times New Roman"/>
          <w:bCs/>
          <w:sz w:val="24"/>
          <w:szCs w:val="24"/>
          <w:lang w:val="en-US"/>
        </w:rPr>
      </w:pPr>
      <w:r w:rsidRPr="005A3244">
        <w:rPr>
          <w:rFonts w:cs="Times New Roman"/>
          <w:bCs/>
          <w:sz w:val="24"/>
          <w:szCs w:val="24"/>
          <w:lang w:val="en-US"/>
        </w:rPr>
        <w:t>An important observation is that water adsorption on PAN and PAN-modified silica is significantly higher than that observed for benzene, despite lower BET surface areas in some cases. This indicates that adsorption is not solely controlled by geometric parameters, but also by the presence of hydrophilic active sites.</w:t>
      </w:r>
    </w:p>
    <w:p w14:paraId="1AB08A1A" w14:textId="77777777" w:rsidR="000C2EA3" w:rsidRPr="005A3244" w:rsidRDefault="000C2EA3" w:rsidP="000C2EA3">
      <w:pPr>
        <w:ind w:firstLine="567"/>
        <w:rPr>
          <w:rFonts w:cs="Times New Roman"/>
          <w:bCs/>
          <w:sz w:val="24"/>
          <w:szCs w:val="24"/>
          <w:lang w:val="en-US"/>
        </w:rPr>
      </w:pPr>
      <w:r w:rsidRPr="005A3244">
        <w:rPr>
          <w:rFonts w:cs="Times New Roman"/>
          <w:bCs/>
          <w:sz w:val="24"/>
          <w:szCs w:val="24"/>
          <w:lang w:val="en-US"/>
        </w:rPr>
        <w:t>This behavior can be explained by several factors. First, the smaller kinetic diameter of water molecules allows them to penetrate narrower pores that are inaccessible to benzene. Second, the presence of hydrophilic functional groups promotes strong adsorption via hydrogen bonding. Third, structural effects such as swelling and pore merging may occur in hydrophilic regions, leading to an apparent increase in accessible pore volume.</w:t>
      </w:r>
    </w:p>
    <w:p w14:paraId="2C05AAB4" w14:textId="77777777" w:rsidR="000C2EA3" w:rsidRPr="005A3244" w:rsidRDefault="000C2EA3" w:rsidP="000C2EA3">
      <w:pPr>
        <w:ind w:firstLine="567"/>
        <w:rPr>
          <w:rFonts w:cs="Times New Roman"/>
          <w:bCs/>
          <w:sz w:val="24"/>
          <w:szCs w:val="24"/>
          <w:lang w:val="en-US"/>
        </w:rPr>
      </w:pPr>
      <w:r w:rsidRPr="005A3244">
        <w:rPr>
          <w:rFonts w:cs="Times New Roman"/>
          <w:bCs/>
          <w:sz w:val="24"/>
          <w:szCs w:val="24"/>
          <w:lang w:val="en-US"/>
        </w:rPr>
        <w:t>The non-monotonic dependence of structural parameters on composition is also evident. While increasing silica content generally enhances adsorption, the maximum is observed at PAN:SiO₂ = 1:3, after which further increase leads to a decrease in performance. This is attributed to increased rigidity of the silica framework, which limits structural flexibility and reduces effective pore accessibility.</w:t>
      </w:r>
    </w:p>
    <w:p w14:paraId="743BDEFB" w14:textId="77777777" w:rsidR="000C2EA3" w:rsidRPr="005A3244" w:rsidRDefault="000C2EA3" w:rsidP="000C2EA3">
      <w:pPr>
        <w:ind w:firstLine="567"/>
        <w:rPr>
          <w:rFonts w:cs="Times New Roman"/>
          <w:bCs/>
          <w:sz w:val="24"/>
          <w:szCs w:val="24"/>
          <w:lang w:val="en-US"/>
        </w:rPr>
      </w:pPr>
      <w:r w:rsidRPr="005A3244">
        <w:rPr>
          <w:rFonts w:cs="Times New Roman"/>
          <w:bCs/>
          <w:sz w:val="24"/>
          <w:szCs w:val="24"/>
          <w:lang w:val="en-US"/>
        </w:rPr>
        <w:t>As in the case of benzene adsorption, materials obtained by the sol–gel method significantly outperform those prepared by impregnation. This confirms that controlled formation of hybrid networks during synthesis is critical for achieving optimal pore structure and adsorption performance.</w:t>
      </w:r>
    </w:p>
    <w:p w14:paraId="4A3C4D2D" w14:textId="153B9B2B" w:rsidR="00B110EA" w:rsidRPr="005A3244" w:rsidRDefault="000C2EA3" w:rsidP="000C2EA3">
      <w:pPr>
        <w:ind w:firstLine="567"/>
        <w:rPr>
          <w:rFonts w:cs="Times New Roman"/>
          <w:bCs/>
          <w:sz w:val="24"/>
          <w:szCs w:val="24"/>
          <w:lang w:val="en-US"/>
        </w:rPr>
      </w:pPr>
      <w:r w:rsidRPr="005A3244">
        <w:rPr>
          <w:rFonts w:cs="Times New Roman"/>
          <w:bCs/>
          <w:sz w:val="24"/>
          <w:szCs w:val="24"/>
          <w:lang w:val="en-US"/>
        </w:rPr>
        <w:t>Overall, the results demonstrate that water adsorption in PAN–SiO₂ hybrid nanocomposites is governed by a combination of structural and energetic factors, with optimal performance achieved at compositions that balance pore accessibility, surface functionality, and structural flexibility.</w:t>
      </w:r>
    </w:p>
    <w:p w14:paraId="23C46134" w14:textId="615D06AD" w:rsidR="004771D1" w:rsidRPr="005A3244" w:rsidRDefault="00253DAD" w:rsidP="004771D1">
      <w:pPr>
        <w:ind w:firstLine="567"/>
        <w:rPr>
          <w:rFonts w:cs="Times New Roman"/>
          <w:b/>
          <w:bCs/>
          <w:color w:val="0070C0"/>
          <w:sz w:val="24"/>
          <w:szCs w:val="24"/>
          <w:lang w:val="en-US"/>
        </w:rPr>
      </w:pPr>
      <w:r w:rsidRPr="005A3244">
        <w:rPr>
          <w:rFonts w:cs="Times New Roman"/>
          <w:b/>
          <w:bCs/>
          <w:color w:val="0070C0"/>
          <w:sz w:val="24"/>
          <w:szCs w:val="24"/>
          <w:lang w:val="en-US"/>
        </w:rPr>
        <w:t>3.4. Nitrogen Adsorption: Quantitative Analysis of Pore Structure</w:t>
      </w:r>
    </w:p>
    <w:p w14:paraId="48D60D6A" w14:textId="7D2B339D" w:rsidR="00877546" w:rsidRPr="005A3244" w:rsidRDefault="00877546" w:rsidP="004771D1">
      <w:pPr>
        <w:ind w:firstLine="567"/>
        <w:rPr>
          <w:rFonts w:cs="Times New Roman"/>
          <w:bCs/>
          <w:sz w:val="24"/>
          <w:szCs w:val="24"/>
          <w:lang w:val="en-US"/>
        </w:rPr>
      </w:pPr>
      <w:r w:rsidRPr="005A3244">
        <w:rPr>
          <w:rFonts w:cs="Times New Roman"/>
          <w:bCs/>
          <w:sz w:val="24"/>
          <w:szCs w:val="24"/>
          <w:lang w:val="en-US"/>
        </w:rPr>
        <w:t>The pore structure of PAN–SiO₂ hybrid nanocomposites was comprehensively investigated using nitrogen adsorption–desorption isotherms measured at 77.35 K, which is widely recognized as a standard method for quantitative characterization of porous materials. The obtained isotherms exhibit a characteristic S-shaped profile corresponding to type II behavior, indicating the coexistence of monolayer–multilayer adsorption and capillary condensation processes</w:t>
      </w:r>
      <w:r w:rsidR="000D331E" w:rsidRPr="005A3244">
        <w:rPr>
          <w:rFonts w:cs="Times New Roman"/>
          <w:bCs/>
          <w:sz w:val="24"/>
          <w:szCs w:val="24"/>
          <w:lang w:val="en-US"/>
        </w:rPr>
        <w:t xml:space="preserve"> (figure 4)</w:t>
      </w:r>
      <w:r w:rsidRPr="005A3244">
        <w:rPr>
          <w:rFonts w:cs="Times New Roman"/>
          <w:bCs/>
          <w:sz w:val="24"/>
          <w:szCs w:val="24"/>
          <w:lang w:val="en-US"/>
        </w:rPr>
        <w:t xml:space="preserve">. A pronounced hysteresis loop between adsorption and desorption branches is observed for all </w:t>
      </w:r>
      <w:r w:rsidRPr="005A3244">
        <w:rPr>
          <w:rFonts w:cs="Times New Roman"/>
          <w:bCs/>
          <w:sz w:val="24"/>
          <w:szCs w:val="24"/>
          <w:lang w:val="en-US"/>
        </w:rPr>
        <w:lastRenderedPageBreak/>
        <w:t>studied samples, which confirms the presence of a developed capillary–porous structure and reflects delayed evaporation of condensed nitrogen within the pore system.</w:t>
      </w:r>
    </w:p>
    <w:p w14:paraId="0B7B6089" w14:textId="7E82659A" w:rsidR="00710A87" w:rsidRPr="005A3244" w:rsidRDefault="00CE58F1" w:rsidP="00710A87">
      <w:pPr>
        <w:ind w:firstLine="0"/>
        <w:jc w:val="center"/>
        <w:rPr>
          <w:rFonts w:cs="Times New Roman"/>
          <w:bCs/>
          <w:sz w:val="24"/>
          <w:szCs w:val="24"/>
          <w:lang w:val="en-US"/>
        </w:rPr>
      </w:pPr>
      <w:r>
        <w:rPr>
          <w:noProof/>
          <w:sz w:val="24"/>
          <w:szCs w:val="24"/>
          <w:lang w:val="en-US"/>
        </w:rPr>
        <mc:AlternateContent>
          <mc:Choice Requires="wps">
            <w:drawing>
              <wp:anchor distT="0" distB="0" distL="114300" distR="114300" simplePos="0" relativeHeight="251665408" behindDoc="0" locked="0" layoutInCell="1" allowOverlap="1" wp14:anchorId="5EA0DCD1" wp14:editId="31917FEC">
                <wp:simplePos x="0" y="0"/>
                <wp:positionH relativeFrom="column">
                  <wp:posOffset>4406265</wp:posOffset>
                </wp:positionH>
                <wp:positionV relativeFrom="paragraph">
                  <wp:posOffset>326390</wp:posOffset>
                </wp:positionV>
                <wp:extent cx="254000" cy="266700"/>
                <wp:effectExtent l="0" t="0" r="12700" b="19050"/>
                <wp:wrapNone/>
                <wp:docPr id="15" name="Надпись 15"/>
                <wp:cNvGraphicFramePr/>
                <a:graphic xmlns:a="http://schemas.openxmlformats.org/drawingml/2006/main">
                  <a:graphicData uri="http://schemas.microsoft.com/office/word/2010/wordprocessingShape">
                    <wps:wsp>
                      <wps:cNvSpPr txBox="1"/>
                      <wps:spPr>
                        <a:xfrm>
                          <a:off x="0" y="0"/>
                          <a:ext cx="254000" cy="266700"/>
                        </a:xfrm>
                        <a:prstGeom prst="rect">
                          <a:avLst/>
                        </a:prstGeom>
                        <a:solidFill>
                          <a:schemeClr val="lt1"/>
                        </a:solidFill>
                        <a:ln w="6350">
                          <a:solidFill>
                            <a:prstClr val="black"/>
                          </a:solidFill>
                        </a:ln>
                      </wps:spPr>
                      <wps:txbx>
                        <w:txbxContent>
                          <w:p w14:paraId="3FBFF8CB" w14:textId="6FC63900" w:rsidR="00A324C9" w:rsidRPr="00A324C9" w:rsidRDefault="00A324C9" w:rsidP="00A324C9">
                            <w:pPr>
                              <w:ind w:firstLine="0"/>
                              <w:rPr>
                                <w:lang w:val="en-US"/>
                              </w:rPr>
                            </w:pPr>
                            <w:r>
                              <w:rPr>
                                <w:lang w:val="en-U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A0DCD1" id="Надпись 15" o:spid="_x0000_s1030" type="#_x0000_t202" style="position:absolute;left:0;text-align:left;margin-left:346.95pt;margin-top:25.7pt;width:20pt;height:2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" fillcolor="white [3201]" strokeweight=".5pt">
                <v:textbox>
                  <w:txbxContent>
                    <w:p w14:paraId="3FBFF8CB" w14:textId="6FC63900" w:rsidR="00A324C9" w:rsidRPr="00A324C9" w:rsidRDefault="00A324C9" w:rsidP="00A324C9">
                      <w:pPr>
                        <w:ind w:firstLine="0"/>
                        <w:rPr>
                          <w:lang w:val="en-US"/>
                        </w:rPr>
                      </w:pPr>
                      <w:r>
                        <w:rPr>
                          <w:lang w:val="en-US"/>
                        </w:rPr>
                        <w:t>b</w:t>
                      </w:r>
                    </w:p>
                  </w:txbxContent>
                </v:textbox>
              </v:shape>
            </w:pict>
          </mc:Fallback>
        </mc:AlternateContent>
      </w:r>
      <w:r>
        <w:rPr>
          <w:noProof/>
          <w:sz w:val="24"/>
          <w:szCs w:val="24"/>
          <w:lang w:val="en-US"/>
        </w:rPr>
        <mc:AlternateContent>
          <mc:Choice Requires="wps">
            <w:drawing>
              <wp:anchor distT="0" distB="0" distL="114300" distR="114300" simplePos="0" relativeHeight="251667456" behindDoc="0" locked="0" layoutInCell="1" allowOverlap="1" wp14:anchorId="5BE4258C" wp14:editId="6B80B676">
                <wp:simplePos x="0" y="0"/>
                <wp:positionH relativeFrom="column">
                  <wp:posOffset>1485265</wp:posOffset>
                </wp:positionH>
                <wp:positionV relativeFrom="paragraph">
                  <wp:posOffset>326390</wp:posOffset>
                </wp:positionV>
                <wp:extent cx="254000" cy="297180"/>
                <wp:effectExtent l="0" t="0" r="12700" b="26670"/>
                <wp:wrapNone/>
                <wp:docPr id="16" name="Надпись 16"/>
                <wp:cNvGraphicFramePr/>
                <a:graphic xmlns:a="http://schemas.openxmlformats.org/drawingml/2006/main">
                  <a:graphicData uri="http://schemas.microsoft.com/office/word/2010/wordprocessingShape">
                    <wps:wsp>
                      <wps:cNvSpPr txBox="1"/>
                      <wps:spPr>
                        <a:xfrm>
                          <a:off x="0" y="0"/>
                          <a:ext cx="254000" cy="297180"/>
                        </a:xfrm>
                        <a:prstGeom prst="rect">
                          <a:avLst/>
                        </a:prstGeom>
                        <a:solidFill>
                          <a:schemeClr val="lt1"/>
                        </a:solidFill>
                        <a:ln w="6350">
                          <a:solidFill>
                            <a:prstClr val="black"/>
                          </a:solidFill>
                        </a:ln>
                      </wps:spPr>
                      <wps:txbx>
                        <w:txbxContent>
                          <w:p w14:paraId="619716B4" w14:textId="77777777" w:rsidR="00A324C9" w:rsidRPr="00A324C9" w:rsidRDefault="00A324C9" w:rsidP="00A324C9">
                            <w:pPr>
                              <w:ind w:firstLine="0"/>
                              <w:rPr>
                                <w:lang w:val="en-US"/>
                              </w:rPr>
                            </w:pPr>
                            <w:r>
                              <w:rPr>
                                <w:lang w:val="en-U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E4258C" id="Надпись 16" o:spid="_x0000_s1031" type="#_x0000_t202" style="position:absolute;left:0;text-align:left;margin-left:116.95pt;margin-top:25.7pt;width:20pt;height:23.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" fillcolor="white [3201]" strokeweight=".5pt">
                <v:textbox>
                  <w:txbxContent>
                    <w:p w14:paraId="619716B4" w14:textId="77777777" w:rsidR="00A324C9" w:rsidRPr="00A324C9" w:rsidRDefault="00A324C9" w:rsidP="00A324C9">
                      <w:pPr>
                        <w:ind w:firstLine="0"/>
                        <w:rPr>
                          <w:lang w:val="en-US"/>
                        </w:rPr>
                      </w:pPr>
                      <w:r>
                        <w:rPr>
                          <w:lang w:val="en-US"/>
                        </w:rPr>
                        <w:t>a</w:t>
                      </w:r>
                    </w:p>
                  </w:txbxContent>
                </v:textbox>
              </v:shape>
            </w:pict>
          </mc:Fallback>
        </mc:AlternateContent>
      </w:r>
      <w:r w:rsidR="00710A87" w:rsidRPr="005A3244">
        <w:rPr>
          <w:noProof/>
          <w:sz w:val="24"/>
          <w:szCs w:val="24"/>
          <w:lang w:val="en-US"/>
        </w:rPr>
        <w:drawing>
          <wp:inline distT="0" distB="0" distL="0" distR="0" wp14:anchorId="2B680ACC" wp14:editId="484A18A2">
            <wp:extent cx="2926080" cy="3290161"/>
            <wp:effectExtent l="0" t="0" r="7620" b="571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26080" cy="3290161"/>
                    </a:xfrm>
                    <a:prstGeom prst="rect">
                      <a:avLst/>
                    </a:prstGeom>
                  </pic:spPr>
                </pic:pic>
              </a:graphicData>
            </a:graphic>
          </wp:inline>
        </w:drawing>
      </w:r>
      <w:r w:rsidR="00710A87" w:rsidRPr="005A3244">
        <w:rPr>
          <w:noProof/>
          <w:sz w:val="24"/>
          <w:szCs w:val="24"/>
          <w:lang w:val="en-US"/>
        </w:rPr>
        <w:drawing>
          <wp:inline distT="0" distB="0" distL="0" distR="0" wp14:anchorId="2D5B1308" wp14:editId="03CB12A1">
            <wp:extent cx="2926080" cy="3291157"/>
            <wp:effectExtent l="0" t="0" r="7620" b="508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926080" cy="3291157"/>
                    </a:xfrm>
                    <a:prstGeom prst="rect">
                      <a:avLst/>
                    </a:prstGeom>
                  </pic:spPr>
                </pic:pic>
              </a:graphicData>
            </a:graphic>
          </wp:inline>
        </w:drawing>
      </w:r>
    </w:p>
    <w:p w14:paraId="21AB6EE7" w14:textId="4DA3176A" w:rsidR="00710A87" w:rsidRPr="005A3244" w:rsidRDefault="00FB53B6" w:rsidP="00FB53B6">
      <w:pPr>
        <w:ind w:firstLine="0"/>
        <w:jc w:val="center"/>
        <w:rPr>
          <w:rFonts w:cs="Times New Roman"/>
          <w:b/>
          <w:bCs/>
          <w:sz w:val="24"/>
          <w:szCs w:val="24"/>
          <w:lang w:val="en-US"/>
        </w:rPr>
      </w:pPr>
      <w:r w:rsidRPr="005A3244">
        <w:rPr>
          <w:rFonts w:cs="Times New Roman"/>
          <w:b/>
          <w:bCs/>
          <w:sz w:val="24"/>
          <w:szCs w:val="24"/>
          <w:lang w:val="en-US"/>
        </w:rPr>
        <w:t xml:space="preserve">Figure </w:t>
      </w:r>
      <w:r w:rsidR="00537C3B" w:rsidRPr="005A3244">
        <w:rPr>
          <w:rFonts w:cs="Times New Roman"/>
          <w:b/>
          <w:bCs/>
          <w:sz w:val="24"/>
          <w:szCs w:val="24"/>
          <w:lang w:val="en-US"/>
        </w:rPr>
        <w:t>4</w:t>
      </w:r>
      <w:r w:rsidRPr="005A3244">
        <w:rPr>
          <w:rFonts w:cs="Times New Roman"/>
          <w:b/>
          <w:bCs/>
          <w:sz w:val="24"/>
          <w:szCs w:val="24"/>
          <w:lang w:val="en-US"/>
        </w:rPr>
        <w:t>. N₂ adsorption–desorption isotherms at 77 K for PAN–SiO₂ hybrid nanocomposites with ratios (a) 1:2 and (b) 2:1.</w:t>
      </w:r>
    </w:p>
    <w:p w14:paraId="4F284859" w14:textId="77777777" w:rsidR="003427F2" w:rsidRDefault="003427F2" w:rsidP="00E0245A">
      <w:pPr>
        <w:ind w:firstLine="567"/>
        <w:rPr>
          <w:rFonts w:cs="Times New Roman"/>
          <w:bCs/>
          <w:sz w:val="24"/>
          <w:szCs w:val="24"/>
          <w:lang w:val="en-US"/>
        </w:rPr>
      </w:pPr>
    </w:p>
    <w:p w14:paraId="06C04A5A" w14:textId="2AE4A230" w:rsidR="008B1E73" w:rsidRPr="005A3244" w:rsidRDefault="00877546" w:rsidP="00E0245A">
      <w:pPr>
        <w:ind w:firstLine="567"/>
        <w:rPr>
          <w:rFonts w:cs="Times New Roman"/>
          <w:bCs/>
          <w:sz w:val="24"/>
          <w:szCs w:val="24"/>
          <w:lang w:val="en-US"/>
        </w:rPr>
      </w:pPr>
      <w:r w:rsidRPr="005A3244">
        <w:rPr>
          <w:rFonts w:cs="Times New Roman"/>
          <w:bCs/>
          <w:sz w:val="24"/>
          <w:szCs w:val="24"/>
          <w:lang w:val="en-US"/>
        </w:rPr>
        <w:t>Although the overall shape of the isotherms remains similar for different compositions, significant quantitative differences are observed depending on the PAN:SiO₂ ratio. In particular, the sample with a composition of PAN–SiO₂ = 1:2 is characterized by a higher total pore volume, whereas the PAN–SiO₂ = 2:1 system demonstrates a larger external surface area. These differences indicate that the variation of composition leads not only to quantitative changes in porosity but also to qualitative restructuring of the pore network.</w:t>
      </w:r>
    </w:p>
    <w:p w14:paraId="202ECF2D" w14:textId="1B4A93D1" w:rsidR="00877546" w:rsidRPr="005A3244" w:rsidRDefault="00877546" w:rsidP="00E0245A">
      <w:pPr>
        <w:ind w:firstLine="567"/>
        <w:rPr>
          <w:rFonts w:cs="Times New Roman"/>
          <w:bCs/>
          <w:sz w:val="24"/>
          <w:szCs w:val="24"/>
          <w:lang w:val="en-US"/>
        </w:rPr>
      </w:pPr>
      <w:r w:rsidRPr="005A3244">
        <w:rPr>
          <w:rFonts w:cs="Times New Roman"/>
          <w:bCs/>
          <w:sz w:val="24"/>
          <w:szCs w:val="24"/>
          <w:lang w:val="en-US"/>
        </w:rPr>
        <w:t>The multipoint BET analysis performed in the relative pressure range of 0.05–0.35 shows excellent linearity, with correlation coefficients approaching unity (r² ≈ 0.99999), confirming the applicability of the model</w:t>
      </w:r>
      <w:r w:rsidR="00575857" w:rsidRPr="005A3244">
        <w:rPr>
          <w:rFonts w:cs="Times New Roman"/>
          <w:bCs/>
          <w:sz w:val="24"/>
          <w:szCs w:val="24"/>
          <w:lang w:val="en-US"/>
        </w:rPr>
        <w:t xml:space="preserve"> (figure 5)</w:t>
      </w:r>
      <w:r w:rsidRPr="005A3244">
        <w:rPr>
          <w:rFonts w:cs="Times New Roman"/>
          <w:bCs/>
          <w:sz w:val="24"/>
          <w:szCs w:val="24"/>
          <w:lang w:val="en-US"/>
        </w:rPr>
        <w:t>. The calculated specific surface areas reach 236.51 m²/g for the PAN–SiO₂ = 1:2 sample and 225.11 m²/g for the 2:1 composition, while the BET constant C lies in the range of 65.20–66.23, indicating relatively strong adsorbent–adsorbate interactions. Notably, the shift of the BET linear region toward lower relative pressures suggests a significant contribution of micropores to the overall structure</w:t>
      </w:r>
      <w:r w:rsidR="00CD078B" w:rsidRPr="005A3244">
        <w:rPr>
          <w:rFonts w:cs="Times New Roman"/>
          <w:bCs/>
          <w:sz w:val="24"/>
          <w:szCs w:val="24"/>
          <w:lang w:val="en-US"/>
        </w:rPr>
        <w:t xml:space="preserve"> [19]</w:t>
      </w:r>
      <w:r w:rsidRPr="005A3244">
        <w:rPr>
          <w:rFonts w:cs="Times New Roman"/>
          <w:bCs/>
          <w:sz w:val="24"/>
          <w:szCs w:val="24"/>
          <w:lang w:val="en-US"/>
        </w:rPr>
        <w:t>.</w:t>
      </w:r>
    </w:p>
    <w:p w14:paraId="29DC7F47" w14:textId="30B6EE82" w:rsidR="001119A4" w:rsidRPr="005A3244" w:rsidRDefault="00CE58F1" w:rsidP="001119A4">
      <w:pPr>
        <w:pStyle w:val="af9"/>
        <w:kinsoku w:val="0"/>
        <w:overflowPunct w:val="0"/>
        <w:spacing w:after="0" w:line="360" w:lineRule="auto"/>
        <w:ind w:right="49"/>
        <w:jc w:val="center"/>
      </w:pPr>
      <w:r>
        <w:rPr>
          <w:noProof/>
          <w:lang w:val="en-US"/>
        </w:rPr>
        <mc:AlternateContent>
          <mc:Choice Requires="wps">
            <w:drawing>
              <wp:anchor distT="0" distB="0" distL="114300" distR="114300" simplePos="0" relativeHeight="251671552" behindDoc="0" locked="0" layoutInCell="1" allowOverlap="1" wp14:anchorId="74E8AFA4" wp14:editId="41C8EEC0">
                <wp:simplePos x="0" y="0"/>
                <wp:positionH relativeFrom="column">
                  <wp:posOffset>5576570</wp:posOffset>
                </wp:positionH>
                <wp:positionV relativeFrom="paragraph">
                  <wp:posOffset>1486747</wp:posOffset>
                </wp:positionV>
                <wp:extent cx="254000" cy="297180"/>
                <wp:effectExtent l="0" t="0" r="12700" b="26670"/>
                <wp:wrapNone/>
                <wp:docPr id="19" name="Надпись 19"/>
                <wp:cNvGraphicFramePr/>
                <a:graphic xmlns:a="http://schemas.openxmlformats.org/drawingml/2006/main">
                  <a:graphicData uri="http://schemas.microsoft.com/office/word/2010/wordprocessingShape">
                    <wps:wsp>
                      <wps:cNvSpPr txBox="1"/>
                      <wps:spPr>
                        <a:xfrm>
                          <a:off x="0" y="0"/>
                          <a:ext cx="254000" cy="297180"/>
                        </a:xfrm>
                        <a:prstGeom prst="rect">
                          <a:avLst/>
                        </a:prstGeom>
                        <a:solidFill>
                          <a:schemeClr val="lt1"/>
                        </a:solidFill>
                        <a:ln w="6350">
                          <a:solidFill>
                            <a:prstClr val="black"/>
                          </a:solidFill>
                        </a:ln>
                      </wps:spPr>
                      <wps:txbx>
                        <w:txbxContent>
                          <w:p w14:paraId="6567E51D" w14:textId="0D427232" w:rsidR="00CE58F1" w:rsidRPr="00A324C9" w:rsidRDefault="00CE58F1" w:rsidP="00CE58F1">
                            <w:pPr>
                              <w:ind w:firstLine="0"/>
                              <w:rPr>
                                <w:lang w:val="en-US"/>
                              </w:rPr>
                            </w:pPr>
                            <w:r>
                              <w:rPr>
                                <w:lang w:val="en-US"/>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E8AFA4" id="Надпись 19" o:spid="_x0000_s1032" type="#_x0000_t202" style="position:absolute;left:0;text-align:left;margin-left:439.1pt;margin-top:117.05pt;width:20pt;height:23.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" fillcolor="white [3201]" strokeweight=".5pt">
                <v:textbox>
                  <w:txbxContent>
                    <w:p w14:paraId="6567E51D" w14:textId="0D427232" w:rsidR="00CE58F1" w:rsidRPr="00A324C9" w:rsidRDefault="00CE58F1" w:rsidP="00CE58F1">
                      <w:pPr>
                        <w:ind w:firstLine="0"/>
                        <w:rPr>
                          <w:lang w:val="en-US"/>
                        </w:rPr>
                      </w:pPr>
                      <w:r>
                        <w:rPr>
                          <w:lang w:val="en-US"/>
                        </w:rPr>
                        <w:t>c</w:t>
                      </w:r>
                    </w:p>
                  </w:txbxContent>
                </v:textbox>
              </v:shape>
            </w:pict>
          </mc:Fallback>
        </mc:AlternateContent>
      </w:r>
      <w:r>
        <w:rPr>
          <w:noProof/>
          <w:lang w:val="en-US"/>
        </w:rPr>
        <mc:AlternateContent>
          <mc:Choice Requires="wps">
            <w:drawing>
              <wp:anchor distT="0" distB="0" distL="114300" distR="114300" simplePos="0" relativeHeight="251669504" behindDoc="0" locked="0" layoutInCell="1" allowOverlap="1" wp14:anchorId="4C4C8FF3" wp14:editId="0B8A888F">
                <wp:simplePos x="0" y="0"/>
                <wp:positionH relativeFrom="column">
                  <wp:posOffset>2607945</wp:posOffset>
                </wp:positionH>
                <wp:positionV relativeFrom="paragraph">
                  <wp:posOffset>1480820</wp:posOffset>
                </wp:positionV>
                <wp:extent cx="254000" cy="297180"/>
                <wp:effectExtent l="0" t="0" r="12700" b="26670"/>
                <wp:wrapNone/>
                <wp:docPr id="18" name="Надпись 18"/>
                <wp:cNvGraphicFramePr/>
                <a:graphic xmlns:a="http://schemas.openxmlformats.org/drawingml/2006/main">
                  <a:graphicData uri="http://schemas.microsoft.com/office/word/2010/wordprocessingShape">
                    <wps:wsp>
                      <wps:cNvSpPr txBox="1"/>
                      <wps:spPr>
                        <a:xfrm>
                          <a:off x="0" y="0"/>
                          <a:ext cx="254000" cy="297180"/>
                        </a:xfrm>
                        <a:prstGeom prst="rect">
                          <a:avLst/>
                        </a:prstGeom>
                        <a:solidFill>
                          <a:schemeClr val="lt1"/>
                        </a:solidFill>
                        <a:ln w="6350">
                          <a:solidFill>
                            <a:prstClr val="black"/>
                          </a:solidFill>
                        </a:ln>
                      </wps:spPr>
                      <wps:txbx>
                        <w:txbxContent>
                          <w:p w14:paraId="0AD2A833" w14:textId="77777777" w:rsidR="00CE58F1" w:rsidRPr="00A324C9" w:rsidRDefault="00CE58F1" w:rsidP="00CE58F1">
                            <w:pPr>
                              <w:ind w:firstLine="0"/>
                              <w:rPr>
                                <w:lang w:val="en-US"/>
                              </w:rPr>
                            </w:pPr>
                            <w:r>
                              <w:rPr>
                                <w:lang w:val="en-U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4C8FF3" id="Надпись 18" o:spid="_x0000_s1033" type="#_x0000_t202" style="position:absolute;left:0;text-align:left;margin-left:205.35pt;margin-top:116.6pt;width:20pt;height:23.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" fillcolor="white [3201]" strokeweight=".5pt">
                <v:textbox>
                  <w:txbxContent>
                    <w:p w14:paraId="0AD2A833" w14:textId="77777777" w:rsidR="00CE58F1" w:rsidRPr="00A324C9" w:rsidRDefault="00CE58F1" w:rsidP="00CE58F1">
                      <w:pPr>
                        <w:ind w:firstLine="0"/>
                        <w:rPr>
                          <w:lang w:val="en-US"/>
                        </w:rPr>
                      </w:pPr>
                      <w:r>
                        <w:rPr>
                          <w:lang w:val="en-US"/>
                        </w:rPr>
                        <w:t>a</w:t>
                      </w:r>
                    </w:p>
                  </w:txbxContent>
                </v:textbox>
              </v:shape>
            </w:pict>
          </mc:Fallback>
        </mc:AlternateContent>
      </w:r>
      <w:r w:rsidR="001119A4" w:rsidRPr="005A3244">
        <w:rPr>
          <w:noProof/>
          <w:lang w:val="en-US"/>
        </w:rPr>
        <w:drawing>
          <wp:inline distT="0" distB="0" distL="0" distR="0" wp14:anchorId="6BADDE92" wp14:editId="370E3B0D">
            <wp:extent cx="2915202" cy="204724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932237" cy="2059203"/>
                    </a:xfrm>
                    <a:prstGeom prst="rect">
                      <a:avLst/>
                    </a:prstGeom>
                  </pic:spPr>
                </pic:pic>
              </a:graphicData>
            </a:graphic>
          </wp:inline>
        </w:drawing>
      </w:r>
      <w:r w:rsidR="001119A4" w:rsidRPr="005A3244">
        <w:rPr>
          <w:noProof/>
          <w:lang w:val="en-US"/>
        </w:rPr>
        <w:drawing>
          <wp:inline distT="0" distB="0" distL="0" distR="0" wp14:anchorId="2E68E915" wp14:editId="142D36F0">
            <wp:extent cx="2959568" cy="2052320"/>
            <wp:effectExtent l="0" t="0" r="0" b="508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984063" cy="2069306"/>
                    </a:xfrm>
                    <a:prstGeom prst="rect">
                      <a:avLst/>
                    </a:prstGeom>
                  </pic:spPr>
                </pic:pic>
              </a:graphicData>
            </a:graphic>
          </wp:inline>
        </w:drawing>
      </w:r>
    </w:p>
    <w:p w14:paraId="4E008979" w14:textId="7E851B14" w:rsidR="001119A4" w:rsidRPr="005A3244" w:rsidRDefault="00182240" w:rsidP="001119A4">
      <w:pPr>
        <w:pStyle w:val="af9"/>
        <w:kinsoku w:val="0"/>
        <w:overflowPunct w:val="0"/>
        <w:spacing w:after="0" w:line="360" w:lineRule="auto"/>
        <w:ind w:right="49"/>
        <w:jc w:val="both"/>
      </w:pPr>
      <w:r>
        <w:rPr>
          <w:noProof/>
          <w:lang w:val="en-US"/>
        </w:rPr>
        <w:lastRenderedPageBreak/>
        <mc:AlternateContent>
          <mc:Choice Requires="wps">
            <w:drawing>
              <wp:anchor distT="0" distB="0" distL="114300" distR="114300" simplePos="0" relativeHeight="251675648" behindDoc="0" locked="0" layoutInCell="1" allowOverlap="1" wp14:anchorId="536CC806" wp14:editId="1FADE696">
                <wp:simplePos x="0" y="0"/>
                <wp:positionH relativeFrom="column">
                  <wp:posOffset>5553393</wp:posOffset>
                </wp:positionH>
                <wp:positionV relativeFrom="paragraph">
                  <wp:posOffset>1470025</wp:posOffset>
                </wp:positionV>
                <wp:extent cx="254000" cy="297180"/>
                <wp:effectExtent l="0" t="0" r="12700" b="26670"/>
                <wp:wrapNone/>
                <wp:docPr id="21" name="Надпись 21"/>
                <wp:cNvGraphicFramePr/>
                <a:graphic xmlns:a="http://schemas.openxmlformats.org/drawingml/2006/main">
                  <a:graphicData uri="http://schemas.microsoft.com/office/word/2010/wordprocessingShape">
                    <wps:wsp>
                      <wps:cNvSpPr txBox="1"/>
                      <wps:spPr>
                        <a:xfrm>
                          <a:off x="0" y="0"/>
                          <a:ext cx="254000" cy="297180"/>
                        </a:xfrm>
                        <a:prstGeom prst="rect">
                          <a:avLst/>
                        </a:prstGeom>
                        <a:solidFill>
                          <a:schemeClr val="lt1"/>
                        </a:solidFill>
                        <a:ln w="6350">
                          <a:solidFill>
                            <a:prstClr val="black"/>
                          </a:solidFill>
                        </a:ln>
                      </wps:spPr>
                      <wps:txbx>
                        <w:txbxContent>
                          <w:p w14:paraId="35C333EB" w14:textId="0BD6AC94" w:rsidR="00182240" w:rsidRPr="00A324C9" w:rsidRDefault="00182240" w:rsidP="00182240">
                            <w:pPr>
                              <w:ind w:firstLine="0"/>
                              <w:rPr>
                                <w:lang w:val="en-US"/>
                              </w:rPr>
                            </w:pPr>
                            <w:r>
                              <w:rPr>
                                <w:lang w:val="en-US"/>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6CC806" id="Надпись 21" o:spid="_x0000_s1034" type="#_x0000_t202" style="position:absolute;left:0;text-align:left;margin-left:437.3pt;margin-top:115.75pt;width:20pt;height:23.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" fillcolor="white [3201]" strokeweight=".5pt">
                <v:textbox>
                  <w:txbxContent>
                    <w:p w14:paraId="35C333EB" w14:textId="0BD6AC94" w:rsidR="00182240" w:rsidRPr="00A324C9" w:rsidRDefault="00182240" w:rsidP="00182240">
                      <w:pPr>
                        <w:ind w:firstLine="0"/>
                        <w:rPr>
                          <w:lang w:val="en-US"/>
                        </w:rPr>
                      </w:pPr>
                      <w:r>
                        <w:rPr>
                          <w:lang w:val="en-US"/>
                        </w:rPr>
                        <w:t>d</w:t>
                      </w:r>
                    </w:p>
                  </w:txbxContent>
                </v:textbox>
              </v:shape>
            </w:pict>
          </mc:Fallback>
        </mc:AlternateContent>
      </w:r>
      <w:r>
        <w:rPr>
          <w:noProof/>
          <w:lang w:val="en-US"/>
        </w:rPr>
        <mc:AlternateContent>
          <mc:Choice Requires="wps">
            <w:drawing>
              <wp:anchor distT="0" distB="0" distL="114300" distR="114300" simplePos="0" relativeHeight="251673600" behindDoc="0" locked="0" layoutInCell="1" allowOverlap="1" wp14:anchorId="369D5D25" wp14:editId="72A0CB2C">
                <wp:simplePos x="0" y="0"/>
                <wp:positionH relativeFrom="column">
                  <wp:posOffset>2592567</wp:posOffset>
                </wp:positionH>
                <wp:positionV relativeFrom="paragraph">
                  <wp:posOffset>1466850</wp:posOffset>
                </wp:positionV>
                <wp:extent cx="254000" cy="297180"/>
                <wp:effectExtent l="0" t="0" r="12700" b="26670"/>
                <wp:wrapNone/>
                <wp:docPr id="20" name="Надпись 20"/>
                <wp:cNvGraphicFramePr/>
                <a:graphic xmlns:a="http://schemas.openxmlformats.org/drawingml/2006/main">
                  <a:graphicData uri="http://schemas.microsoft.com/office/word/2010/wordprocessingShape">
                    <wps:wsp>
                      <wps:cNvSpPr txBox="1"/>
                      <wps:spPr>
                        <a:xfrm>
                          <a:off x="0" y="0"/>
                          <a:ext cx="254000" cy="297180"/>
                        </a:xfrm>
                        <a:prstGeom prst="rect">
                          <a:avLst/>
                        </a:prstGeom>
                        <a:solidFill>
                          <a:schemeClr val="lt1"/>
                        </a:solidFill>
                        <a:ln w="6350">
                          <a:solidFill>
                            <a:prstClr val="black"/>
                          </a:solidFill>
                        </a:ln>
                      </wps:spPr>
                      <wps:txbx>
                        <w:txbxContent>
                          <w:p w14:paraId="42AAB4EC" w14:textId="03C40AEB" w:rsidR="00182240" w:rsidRPr="00A324C9" w:rsidRDefault="00182240" w:rsidP="00182240">
                            <w:pPr>
                              <w:ind w:firstLine="0"/>
                              <w:rPr>
                                <w:lang w:val="en-US"/>
                              </w:rPr>
                            </w:pPr>
                            <w:r>
                              <w:rPr>
                                <w:lang w:val="en-U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9D5D25" id="Надпись 20" o:spid="_x0000_s1035" type="#_x0000_t202" style="position:absolute;left:0;text-align:left;margin-left:204.15pt;margin-top:115.5pt;width:20pt;height:23.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" fillcolor="white [3201]" strokeweight=".5pt">
                <v:textbox>
                  <w:txbxContent>
                    <w:p w14:paraId="42AAB4EC" w14:textId="03C40AEB" w:rsidR="00182240" w:rsidRPr="00A324C9" w:rsidRDefault="00182240" w:rsidP="00182240">
                      <w:pPr>
                        <w:ind w:firstLine="0"/>
                        <w:rPr>
                          <w:lang w:val="en-US"/>
                        </w:rPr>
                      </w:pPr>
                      <w:r>
                        <w:rPr>
                          <w:lang w:val="en-US"/>
                        </w:rPr>
                        <w:t>b</w:t>
                      </w:r>
                    </w:p>
                  </w:txbxContent>
                </v:textbox>
              </v:shape>
            </w:pict>
          </mc:Fallback>
        </mc:AlternateContent>
      </w:r>
      <w:r w:rsidR="001119A4" w:rsidRPr="005A3244">
        <w:rPr>
          <w:noProof/>
          <w:lang w:val="en-US"/>
        </w:rPr>
        <w:drawing>
          <wp:inline distT="0" distB="0" distL="0" distR="0" wp14:anchorId="0394FA05" wp14:editId="251E02C4">
            <wp:extent cx="2918460" cy="2047875"/>
            <wp:effectExtent l="0" t="0" r="0" b="9525"/>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919004" cy="2048257"/>
                    </a:xfrm>
                    <a:prstGeom prst="rect">
                      <a:avLst/>
                    </a:prstGeom>
                  </pic:spPr>
                </pic:pic>
              </a:graphicData>
            </a:graphic>
          </wp:inline>
        </w:drawing>
      </w:r>
      <w:r w:rsidR="001119A4" w:rsidRPr="005A3244">
        <w:rPr>
          <w:noProof/>
          <w:lang w:val="en-US"/>
        </w:rPr>
        <w:drawing>
          <wp:inline distT="0" distB="0" distL="0" distR="0" wp14:anchorId="3FE00A5B" wp14:editId="33981AA9">
            <wp:extent cx="2960094" cy="2058670"/>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70453" cy="2065875"/>
                    </a:xfrm>
                    <a:prstGeom prst="rect">
                      <a:avLst/>
                    </a:prstGeom>
                  </pic:spPr>
                </pic:pic>
              </a:graphicData>
            </a:graphic>
          </wp:inline>
        </w:drawing>
      </w:r>
    </w:p>
    <w:p w14:paraId="73B972FE" w14:textId="7A4FA440" w:rsidR="00C834D6" w:rsidRPr="005A3244" w:rsidRDefault="00C834D6" w:rsidP="00C834D6">
      <w:pPr>
        <w:ind w:firstLine="0"/>
        <w:jc w:val="center"/>
        <w:rPr>
          <w:rFonts w:eastAsia="Times New Roman"/>
          <w:b/>
          <w:sz w:val="24"/>
          <w:szCs w:val="24"/>
          <w:lang w:val="en-US"/>
        </w:rPr>
      </w:pPr>
      <w:r w:rsidRPr="005A3244">
        <w:rPr>
          <w:rFonts w:eastAsia="Times New Roman"/>
          <w:b/>
          <w:sz w:val="24"/>
          <w:szCs w:val="24"/>
          <w:lang w:val="en-US"/>
        </w:rPr>
        <w:t>Figure 5. Linearized BET plots and t-plot analysis for PAN–SiO₂ hybrid nanocomposites at compositions 1:2 (a, c) and 2:1 (b, d).</w:t>
      </w:r>
    </w:p>
    <w:p w14:paraId="576C6D4D" w14:textId="77777777" w:rsidR="003427F2" w:rsidRDefault="003427F2" w:rsidP="000D331E">
      <w:pPr>
        <w:ind w:firstLine="567"/>
        <w:rPr>
          <w:rFonts w:cs="Times New Roman"/>
          <w:bCs/>
          <w:sz w:val="24"/>
          <w:szCs w:val="24"/>
          <w:lang w:val="en-US"/>
        </w:rPr>
      </w:pPr>
    </w:p>
    <w:p w14:paraId="4860F2C8" w14:textId="77777777" w:rsidR="000D331E" w:rsidRPr="005A3244" w:rsidRDefault="000D331E" w:rsidP="000D331E">
      <w:pPr>
        <w:ind w:firstLine="567"/>
        <w:rPr>
          <w:rFonts w:cs="Times New Roman"/>
          <w:bCs/>
          <w:sz w:val="24"/>
          <w:szCs w:val="24"/>
          <w:lang w:val="en-US"/>
        </w:rPr>
      </w:pPr>
      <w:r w:rsidRPr="005A3244">
        <w:rPr>
          <w:rFonts w:cs="Times New Roman"/>
          <w:bCs/>
          <w:sz w:val="24"/>
          <w:szCs w:val="24"/>
          <w:lang w:val="en-US"/>
        </w:rPr>
        <w:t>Further insight into the pore system was obtained using the V–t method, which allows separation of microporous and external surface contributions. The resulting t-plots exhibit high linearity (r² = 0.99964–0.99999), confirming the validity of the multilayer adsorption model and indicating a well-defined surface structure. The calculated external surface areas are consistent with BET results, and the difference between total and external surface areas confirms a substantial contribution of microporosity.</w:t>
      </w:r>
    </w:p>
    <w:p w14:paraId="544691BC" w14:textId="382FFDD8" w:rsidR="00877546" w:rsidRPr="005A3244" w:rsidRDefault="001A7C48" w:rsidP="001A7C48">
      <w:pPr>
        <w:ind w:firstLine="567"/>
        <w:rPr>
          <w:rFonts w:cs="Times New Roman"/>
          <w:bCs/>
          <w:sz w:val="24"/>
          <w:szCs w:val="24"/>
          <w:lang w:val="en-US"/>
        </w:rPr>
      </w:pPr>
      <w:r w:rsidRPr="005A3244">
        <w:rPr>
          <w:rFonts w:cs="Times New Roman"/>
          <w:bCs/>
          <w:sz w:val="24"/>
          <w:szCs w:val="24"/>
          <w:lang w:val="en-US"/>
        </w:rPr>
        <w:t>The BJH analysis reveals important differences in mesopore characteristics. The total pore volume increases from 0.551 cm³/g for the PAN–SiO₂ = 1:2 sample to 1.057 cm³/g for the 2:1 composition, while the average pore radius increases from 48.6 Å to 78.3 Å. The corresponding surface areas also increase, reaching 268.93 and 278.42 m²/g, respectively. These results indicate that increasing the PAN content leads to the formation of larger pores and a more open mesoporous structure</w:t>
      </w:r>
      <w:r w:rsidR="00575857" w:rsidRPr="005A3244">
        <w:rPr>
          <w:rFonts w:cs="Times New Roman"/>
          <w:bCs/>
          <w:sz w:val="24"/>
          <w:szCs w:val="24"/>
          <w:lang w:val="en-US"/>
        </w:rPr>
        <w:t xml:space="preserve"> (figure 6)</w:t>
      </w:r>
      <w:r w:rsidRPr="005A3244">
        <w:rPr>
          <w:rFonts w:cs="Times New Roman"/>
          <w:bCs/>
          <w:sz w:val="24"/>
          <w:szCs w:val="24"/>
          <w:lang w:val="en-US"/>
        </w:rPr>
        <w:t>.</w:t>
      </w:r>
    </w:p>
    <w:p w14:paraId="6C1DC257" w14:textId="7BA88083" w:rsidR="001A7C48" w:rsidRPr="005A3244" w:rsidRDefault="00182240" w:rsidP="00B72EF4">
      <w:pPr>
        <w:ind w:firstLine="0"/>
        <w:rPr>
          <w:rFonts w:cs="Times New Roman"/>
          <w:bCs/>
          <w:sz w:val="24"/>
          <w:szCs w:val="24"/>
          <w:lang w:val="ru-RU"/>
        </w:rPr>
      </w:pPr>
      <w:r>
        <w:rPr>
          <w:noProof/>
          <w:sz w:val="24"/>
          <w:szCs w:val="24"/>
          <w:lang w:val="en-US"/>
        </w:rPr>
        <mc:AlternateContent>
          <mc:Choice Requires="wps">
            <w:drawing>
              <wp:anchor distT="0" distB="0" distL="114300" distR="114300" simplePos="0" relativeHeight="251679744" behindDoc="0" locked="0" layoutInCell="1" allowOverlap="1" wp14:anchorId="0CD4922E" wp14:editId="333850CC">
                <wp:simplePos x="0" y="0"/>
                <wp:positionH relativeFrom="column">
                  <wp:posOffset>3272790</wp:posOffset>
                </wp:positionH>
                <wp:positionV relativeFrom="paragraph">
                  <wp:posOffset>301625</wp:posOffset>
                </wp:positionV>
                <wp:extent cx="244475" cy="257175"/>
                <wp:effectExtent l="0" t="0" r="22225" b="28575"/>
                <wp:wrapNone/>
                <wp:docPr id="23" name="Надпись 23"/>
                <wp:cNvGraphicFramePr/>
                <a:graphic xmlns:a="http://schemas.openxmlformats.org/drawingml/2006/main">
                  <a:graphicData uri="http://schemas.microsoft.com/office/word/2010/wordprocessingShape">
                    <wps:wsp>
                      <wps:cNvSpPr txBox="1"/>
                      <wps:spPr>
                        <a:xfrm>
                          <a:off x="0" y="0"/>
                          <a:ext cx="244475" cy="257175"/>
                        </a:xfrm>
                        <a:prstGeom prst="rect">
                          <a:avLst/>
                        </a:prstGeom>
                        <a:solidFill>
                          <a:schemeClr val="lt1"/>
                        </a:solidFill>
                        <a:ln w="6350">
                          <a:solidFill>
                            <a:prstClr val="black"/>
                          </a:solidFill>
                        </a:ln>
                      </wps:spPr>
                      <wps:txbx>
                        <w:txbxContent>
                          <w:p w14:paraId="0624924A" w14:textId="77777777" w:rsidR="00182240" w:rsidRPr="00A324C9" w:rsidRDefault="00182240" w:rsidP="00182240">
                            <w:pPr>
                              <w:ind w:firstLine="0"/>
                              <w:rPr>
                                <w:lang w:val="en-US"/>
                              </w:rPr>
                            </w:pPr>
                            <w:r>
                              <w:rPr>
                                <w:lang w:val="en-U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D4922E" id="Надпись 23" o:spid="_x0000_s1036" type="#_x0000_t202" style="position:absolute;left:0;text-align:left;margin-left:257.7pt;margin-top:23.75pt;width:19.25pt;height:20.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" fillcolor="white [3201]" strokeweight=".5pt">
                <v:textbox>
                  <w:txbxContent>
                    <w:p w14:paraId="0624924A" w14:textId="77777777" w:rsidR="00182240" w:rsidRPr="00A324C9" w:rsidRDefault="00182240" w:rsidP="00182240">
                      <w:pPr>
                        <w:ind w:firstLine="0"/>
                        <w:rPr>
                          <w:lang w:val="en-US"/>
                        </w:rPr>
                      </w:pPr>
                      <w:r>
                        <w:rPr>
                          <w:lang w:val="en-US"/>
                        </w:rPr>
                        <w:t>b</w:t>
                      </w:r>
                    </w:p>
                  </w:txbxContent>
                </v:textbox>
              </v:shape>
            </w:pict>
          </mc:Fallback>
        </mc:AlternateContent>
      </w:r>
      <w:r>
        <w:rPr>
          <w:noProof/>
          <w:sz w:val="24"/>
          <w:szCs w:val="24"/>
          <w:lang w:val="en-US"/>
        </w:rPr>
        <mc:AlternateContent>
          <mc:Choice Requires="wps">
            <w:drawing>
              <wp:anchor distT="0" distB="0" distL="114300" distR="114300" simplePos="0" relativeHeight="251677696" behindDoc="0" locked="0" layoutInCell="1" allowOverlap="1" wp14:anchorId="748370E8" wp14:editId="732329EA">
                <wp:simplePos x="0" y="0"/>
                <wp:positionH relativeFrom="column">
                  <wp:posOffset>348615</wp:posOffset>
                </wp:positionH>
                <wp:positionV relativeFrom="paragraph">
                  <wp:posOffset>302259</wp:posOffset>
                </wp:positionV>
                <wp:extent cx="244475" cy="257175"/>
                <wp:effectExtent l="0" t="0" r="22225" b="28575"/>
                <wp:wrapNone/>
                <wp:docPr id="22" name="Надпись 22"/>
                <wp:cNvGraphicFramePr/>
                <a:graphic xmlns:a="http://schemas.openxmlformats.org/drawingml/2006/main">
                  <a:graphicData uri="http://schemas.microsoft.com/office/word/2010/wordprocessingShape">
                    <wps:wsp>
                      <wps:cNvSpPr txBox="1"/>
                      <wps:spPr>
                        <a:xfrm>
                          <a:off x="0" y="0"/>
                          <a:ext cx="244475" cy="257175"/>
                        </a:xfrm>
                        <a:prstGeom prst="rect">
                          <a:avLst/>
                        </a:prstGeom>
                        <a:solidFill>
                          <a:schemeClr val="lt1"/>
                        </a:solidFill>
                        <a:ln w="6350">
                          <a:solidFill>
                            <a:prstClr val="black"/>
                          </a:solidFill>
                        </a:ln>
                      </wps:spPr>
                      <wps:txbx>
                        <w:txbxContent>
                          <w:p w14:paraId="45A77020" w14:textId="386CC7D7" w:rsidR="00182240" w:rsidRPr="00A324C9" w:rsidRDefault="00182240" w:rsidP="00182240">
                            <w:pPr>
                              <w:ind w:firstLine="0"/>
                              <w:rPr>
                                <w:lang w:val="en-US"/>
                              </w:rPr>
                            </w:pPr>
                            <w:r>
                              <w:rPr>
                                <w:lang w:val="en-U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8370E8" id="Надпись 22" o:spid="_x0000_s1037" type="#_x0000_t202" style="position:absolute;left:0;text-align:left;margin-left:27.45pt;margin-top:23.8pt;width:19.25pt;height:20.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" fillcolor="white [3201]" strokeweight=".5pt">
                <v:textbox>
                  <w:txbxContent>
                    <w:p w14:paraId="45A77020" w14:textId="386CC7D7" w:rsidR="00182240" w:rsidRPr="00A324C9" w:rsidRDefault="00182240" w:rsidP="00182240">
                      <w:pPr>
                        <w:ind w:firstLine="0"/>
                        <w:rPr>
                          <w:lang w:val="en-US"/>
                        </w:rPr>
                      </w:pPr>
                      <w:r>
                        <w:rPr>
                          <w:lang w:val="en-US"/>
                        </w:rPr>
                        <w:t>a</w:t>
                      </w:r>
                    </w:p>
                  </w:txbxContent>
                </v:textbox>
              </v:shape>
            </w:pict>
          </mc:Fallback>
        </mc:AlternateContent>
      </w:r>
      <w:r w:rsidR="00B72EF4" w:rsidRPr="005A3244">
        <w:rPr>
          <w:noProof/>
          <w:sz w:val="24"/>
          <w:szCs w:val="24"/>
          <w:lang w:val="en-US"/>
        </w:rPr>
        <w:drawing>
          <wp:inline distT="0" distB="0" distL="0" distR="0" wp14:anchorId="68476851" wp14:editId="36702A11">
            <wp:extent cx="2919045" cy="1656000"/>
            <wp:effectExtent l="0" t="0" r="0" b="1905"/>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19045" cy="1656000"/>
                    </a:xfrm>
                    <a:prstGeom prst="rect">
                      <a:avLst/>
                    </a:prstGeom>
                  </pic:spPr>
                </pic:pic>
              </a:graphicData>
            </a:graphic>
          </wp:inline>
        </w:drawing>
      </w:r>
      <w:r w:rsidR="00B72EF4" w:rsidRPr="005A3244">
        <w:rPr>
          <w:noProof/>
          <w:sz w:val="24"/>
          <w:szCs w:val="24"/>
          <w:lang w:val="en-US"/>
        </w:rPr>
        <w:drawing>
          <wp:inline distT="0" distB="0" distL="0" distR="0" wp14:anchorId="76A19133" wp14:editId="546F488B">
            <wp:extent cx="2961742" cy="1656000"/>
            <wp:effectExtent l="0" t="0" r="0" b="1905"/>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961742" cy="1656000"/>
                    </a:xfrm>
                    <a:prstGeom prst="rect">
                      <a:avLst/>
                    </a:prstGeom>
                  </pic:spPr>
                </pic:pic>
              </a:graphicData>
            </a:graphic>
          </wp:inline>
        </w:drawing>
      </w:r>
    </w:p>
    <w:p w14:paraId="4658313D" w14:textId="3E7F0C43" w:rsidR="00D0034E" w:rsidRPr="005A3244" w:rsidRDefault="00182240" w:rsidP="00D0034E">
      <w:pPr>
        <w:ind w:firstLine="0"/>
        <w:rPr>
          <w:rFonts w:cs="Times New Roman"/>
          <w:bCs/>
          <w:sz w:val="24"/>
          <w:szCs w:val="24"/>
          <w:lang w:val="en-US"/>
        </w:rPr>
      </w:pPr>
      <w:r>
        <w:rPr>
          <w:noProof/>
          <w:sz w:val="24"/>
          <w:szCs w:val="24"/>
          <w:lang w:val="en-US"/>
        </w:rPr>
        <mc:AlternateContent>
          <mc:Choice Requires="wps">
            <w:drawing>
              <wp:anchor distT="0" distB="0" distL="114300" distR="114300" simplePos="0" relativeHeight="251683840" behindDoc="0" locked="0" layoutInCell="1" allowOverlap="1" wp14:anchorId="2B064BF2" wp14:editId="707D85C7">
                <wp:simplePos x="0" y="0"/>
                <wp:positionH relativeFrom="column">
                  <wp:posOffset>3277235</wp:posOffset>
                </wp:positionH>
                <wp:positionV relativeFrom="paragraph">
                  <wp:posOffset>306208</wp:posOffset>
                </wp:positionV>
                <wp:extent cx="244475" cy="257175"/>
                <wp:effectExtent l="0" t="0" r="22225" b="28575"/>
                <wp:wrapNone/>
                <wp:docPr id="25" name="Надпись 25"/>
                <wp:cNvGraphicFramePr/>
                <a:graphic xmlns:a="http://schemas.openxmlformats.org/drawingml/2006/main">
                  <a:graphicData uri="http://schemas.microsoft.com/office/word/2010/wordprocessingShape">
                    <wps:wsp>
                      <wps:cNvSpPr txBox="1"/>
                      <wps:spPr>
                        <a:xfrm>
                          <a:off x="0" y="0"/>
                          <a:ext cx="244475" cy="257175"/>
                        </a:xfrm>
                        <a:prstGeom prst="rect">
                          <a:avLst/>
                        </a:prstGeom>
                        <a:solidFill>
                          <a:schemeClr val="lt1"/>
                        </a:solidFill>
                        <a:ln w="6350">
                          <a:solidFill>
                            <a:prstClr val="black"/>
                          </a:solidFill>
                        </a:ln>
                      </wps:spPr>
                      <wps:txbx>
                        <w:txbxContent>
                          <w:p w14:paraId="4467E1E5" w14:textId="0E75E6DB" w:rsidR="00182240" w:rsidRPr="00A324C9" w:rsidRDefault="00182240" w:rsidP="00182240">
                            <w:pPr>
                              <w:ind w:firstLine="0"/>
                              <w:rPr>
                                <w:lang w:val="en-US"/>
                              </w:rPr>
                            </w:pPr>
                            <w:r>
                              <w:rPr>
                                <w:lang w:val="en-US"/>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064BF2" id="Надпись 25" o:spid="_x0000_s1038" type="#_x0000_t202" style="position:absolute;left:0;text-align:left;margin-left:258.05pt;margin-top:24.1pt;width:19.25pt;height:20.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" fillcolor="white [3201]" strokeweight=".5pt">
                <v:textbox>
                  <w:txbxContent>
                    <w:p w14:paraId="4467E1E5" w14:textId="0E75E6DB" w:rsidR="00182240" w:rsidRPr="00A324C9" w:rsidRDefault="00182240" w:rsidP="00182240">
                      <w:pPr>
                        <w:ind w:firstLine="0"/>
                        <w:rPr>
                          <w:lang w:val="en-US"/>
                        </w:rPr>
                      </w:pPr>
                      <w:r>
                        <w:rPr>
                          <w:lang w:val="en-US"/>
                        </w:rPr>
                        <w:t>d</w:t>
                      </w:r>
                    </w:p>
                  </w:txbxContent>
                </v:textbox>
              </v:shape>
            </w:pict>
          </mc:Fallback>
        </mc:AlternateContent>
      </w:r>
      <w:r>
        <w:rPr>
          <w:noProof/>
          <w:sz w:val="24"/>
          <w:szCs w:val="24"/>
          <w:lang w:val="en-US"/>
        </w:rPr>
        <mc:AlternateContent>
          <mc:Choice Requires="wps">
            <w:drawing>
              <wp:anchor distT="0" distB="0" distL="114300" distR="114300" simplePos="0" relativeHeight="251681792" behindDoc="0" locked="0" layoutInCell="1" allowOverlap="1" wp14:anchorId="015BD1CC" wp14:editId="461B884D">
                <wp:simplePos x="0" y="0"/>
                <wp:positionH relativeFrom="column">
                  <wp:posOffset>350023</wp:posOffset>
                </wp:positionH>
                <wp:positionV relativeFrom="paragraph">
                  <wp:posOffset>300990</wp:posOffset>
                </wp:positionV>
                <wp:extent cx="244475" cy="257175"/>
                <wp:effectExtent l="0" t="0" r="22225" b="28575"/>
                <wp:wrapNone/>
                <wp:docPr id="24" name="Надпись 24"/>
                <wp:cNvGraphicFramePr/>
                <a:graphic xmlns:a="http://schemas.openxmlformats.org/drawingml/2006/main">
                  <a:graphicData uri="http://schemas.microsoft.com/office/word/2010/wordprocessingShape">
                    <wps:wsp>
                      <wps:cNvSpPr txBox="1"/>
                      <wps:spPr>
                        <a:xfrm>
                          <a:off x="0" y="0"/>
                          <a:ext cx="244475" cy="257175"/>
                        </a:xfrm>
                        <a:prstGeom prst="rect">
                          <a:avLst/>
                        </a:prstGeom>
                        <a:solidFill>
                          <a:schemeClr val="lt1"/>
                        </a:solidFill>
                        <a:ln w="6350">
                          <a:solidFill>
                            <a:prstClr val="black"/>
                          </a:solidFill>
                        </a:ln>
                      </wps:spPr>
                      <wps:txbx>
                        <w:txbxContent>
                          <w:p w14:paraId="5D56ADCB" w14:textId="68C57BF9" w:rsidR="00182240" w:rsidRPr="00A324C9" w:rsidRDefault="00182240" w:rsidP="00182240">
                            <w:pPr>
                              <w:ind w:firstLine="0"/>
                              <w:rPr>
                                <w:lang w:val="en-US"/>
                              </w:rPr>
                            </w:pPr>
                            <w:r>
                              <w:rPr>
                                <w:lang w:val="en-US"/>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5BD1CC" id="Надпись 24" o:spid="_x0000_s1039" type="#_x0000_t202" style="position:absolute;left:0;text-align:left;margin-left:27.55pt;margin-top:23.7pt;width:19.25pt;height:20.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" fillcolor="white [3201]" strokeweight=".5pt">
                <v:textbox>
                  <w:txbxContent>
                    <w:p w14:paraId="5D56ADCB" w14:textId="68C57BF9" w:rsidR="00182240" w:rsidRPr="00A324C9" w:rsidRDefault="00182240" w:rsidP="00182240">
                      <w:pPr>
                        <w:ind w:firstLine="0"/>
                        <w:rPr>
                          <w:lang w:val="en-US"/>
                        </w:rPr>
                      </w:pPr>
                      <w:r>
                        <w:rPr>
                          <w:lang w:val="en-US"/>
                        </w:rPr>
                        <w:t>c</w:t>
                      </w:r>
                    </w:p>
                  </w:txbxContent>
                </v:textbox>
              </v:shape>
            </w:pict>
          </mc:Fallback>
        </mc:AlternateContent>
      </w:r>
      <w:r w:rsidR="00D0034E" w:rsidRPr="005A3244">
        <w:rPr>
          <w:noProof/>
          <w:sz w:val="24"/>
          <w:szCs w:val="24"/>
          <w:lang w:val="en-US"/>
        </w:rPr>
        <w:drawing>
          <wp:inline distT="0" distB="0" distL="0" distR="0" wp14:anchorId="4065BB1D" wp14:editId="19C82C17">
            <wp:extent cx="2922188" cy="16200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922188" cy="1620000"/>
                    </a:xfrm>
                    <a:prstGeom prst="rect">
                      <a:avLst/>
                    </a:prstGeom>
                  </pic:spPr>
                </pic:pic>
              </a:graphicData>
            </a:graphic>
          </wp:inline>
        </w:drawing>
      </w:r>
      <w:r w:rsidR="00D0034E" w:rsidRPr="005A3244">
        <w:rPr>
          <w:noProof/>
          <w:sz w:val="24"/>
          <w:szCs w:val="24"/>
          <w:lang w:val="en-US"/>
        </w:rPr>
        <w:drawing>
          <wp:inline distT="0" distB="0" distL="0" distR="0" wp14:anchorId="2F503F0E" wp14:editId="348FC79D">
            <wp:extent cx="2921063" cy="16200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921063" cy="1620000"/>
                    </a:xfrm>
                    <a:prstGeom prst="rect">
                      <a:avLst/>
                    </a:prstGeom>
                  </pic:spPr>
                </pic:pic>
              </a:graphicData>
            </a:graphic>
          </wp:inline>
        </w:drawing>
      </w:r>
    </w:p>
    <w:p w14:paraId="3653C277" w14:textId="241A97DF" w:rsidR="00D0034E" w:rsidRPr="005A3244" w:rsidRDefault="00D0034E" w:rsidP="00D0034E">
      <w:pPr>
        <w:ind w:firstLine="0"/>
        <w:jc w:val="center"/>
        <w:rPr>
          <w:rFonts w:cs="Times New Roman"/>
          <w:b/>
          <w:bCs/>
          <w:sz w:val="24"/>
          <w:szCs w:val="24"/>
          <w:lang w:val="en-US"/>
        </w:rPr>
      </w:pPr>
      <w:r w:rsidRPr="005A3244">
        <w:rPr>
          <w:rFonts w:cs="Times New Roman"/>
          <w:b/>
          <w:bCs/>
          <w:sz w:val="24"/>
          <w:szCs w:val="24"/>
          <w:lang w:val="en-US"/>
        </w:rPr>
        <w:t>Figure 6. BJH (a, b) and DFT (c, d) pore size distribution curves for PAN–SiO₂ hybrid nanocomposites with ratios 1:2 and 2:1.</w:t>
      </w:r>
    </w:p>
    <w:p w14:paraId="75A9FD2F" w14:textId="77777777" w:rsidR="003427F2" w:rsidRDefault="003427F2" w:rsidP="00544141">
      <w:pPr>
        <w:ind w:firstLine="567"/>
        <w:rPr>
          <w:rFonts w:cs="Times New Roman"/>
          <w:bCs/>
          <w:sz w:val="24"/>
          <w:szCs w:val="24"/>
          <w:lang w:val="en-US"/>
        </w:rPr>
      </w:pPr>
    </w:p>
    <w:p w14:paraId="20E27C3A" w14:textId="15AFFD2C" w:rsidR="00B72EF4" w:rsidRPr="005A3244" w:rsidRDefault="00544141" w:rsidP="00544141">
      <w:pPr>
        <w:ind w:firstLine="567"/>
        <w:rPr>
          <w:rFonts w:cs="Times New Roman"/>
          <w:bCs/>
          <w:sz w:val="24"/>
          <w:szCs w:val="24"/>
          <w:lang w:val="en-US"/>
        </w:rPr>
      </w:pPr>
      <w:r w:rsidRPr="005A3244">
        <w:rPr>
          <w:rFonts w:cs="Times New Roman"/>
          <w:bCs/>
          <w:sz w:val="24"/>
          <w:szCs w:val="24"/>
          <w:lang w:val="en-US"/>
        </w:rPr>
        <w:t xml:space="preserve">A more detailed description of the pore structure is obtained using Density Functional Theory (DFT), which provides a more accurate analysis of micro- and mesopores. The DFT results confirm the observed trends, showing an increase in pore volume from 0.520 to 1.000 cm³/g and </w:t>
      </w:r>
      <w:r w:rsidRPr="005A3244">
        <w:rPr>
          <w:rFonts w:cs="Times New Roman"/>
          <w:bCs/>
          <w:sz w:val="24"/>
          <w:szCs w:val="24"/>
          <w:lang w:val="en-US"/>
        </w:rPr>
        <w:lastRenderedPageBreak/>
        <w:t>an increase in average pore size from 46.42 Å to 91.92 Å when moving from PAN–SiO₂ = 1:2 to 2:1. At the same time, the specific surface area remains relatively stable (171.03–178.10 m²/g), indicating that structural changes are primarily associated with pore enlargement rather than the formation of new surface area.</w:t>
      </w:r>
    </w:p>
    <w:p w14:paraId="22E0918B" w14:textId="039B8FC2" w:rsidR="00906892" w:rsidRPr="005A3244" w:rsidRDefault="00906892" w:rsidP="00E0245A">
      <w:pPr>
        <w:ind w:firstLine="567"/>
        <w:rPr>
          <w:rFonts w:cs="Times New Roman"/>
          <w:bCs/>
          <w:sz w:val="24"/>
          <w:szCs w:val="24"/>
          <w:lang w:val="en-US"/>
        </w:rPr>
      </w:pPr>
      <w:r w:rsidRPr="005A3244">
        <w:rPr>
          <w:rFonts w:cs="Times New Roman"/>
          <w:bCs/>
          <w:sz w:val="24"/>
          <w:szCs w:val="24"/>
          <w:lang w:val="en-US"/>
        </w:rPr>
        <w:t>A key finding of the analysis is the dominant contribution of micropores to the overall pore structure. The fraction of micropores reaches extremely high values of 99.53% for the PAN–SiO₂ = 1:2 sample and 94.61% for the 2:1 composition, while the corresponding contribution to surface area is approximately 63.6–64.0%. These results indicate that the adsorption capacity of the materials is primarily governed by microporosity, whereas meso- and macropores play a supporting role by facilitating mass transport.</w:t>
      </w:r>
    </w:p>
    <w:p w14:paraId="01E6AC4B" w14:textId="041BBB47" w:rsidR="00906892" w:rsidRPr="005A3244" w:rsidRDefault="00037D1C" w:rsidP="00E0245A">
      <w:pPr>
        <w:ind w:firstLine="567"/>
        <w:rPr>
          <w:rFonts w:cs="Times New Roman"/>
          <w:bCs/>
          <w:sz w:val="24"/>
          <w:szCs w:val="24"/>
          <w:lang w:val="en-US"/>
        </w:rPr>
      </w:pPr>
      <w:r w:rsidRPr="005A3244">
        <w:rPr>
          <w:rFonts w:cs="Times New Roman"/>
          <w:bCs/>
          <w:sz w:val="24"/>
          <w:szCs w:val="24"/>
          <w:lang w:val="en-US"/>
        </w:rPr>
        <w:t>The observed dependence of pore characteristics on composition provides important insight into the mechanism of structure formation. An increase in PAN content leads to an increase in pore volume and average pore size, suggesting that the polymer phase prevents excessive densification of the silica network and promotes the formation of a more open structure. This effect can be attributed to steric interactions between polymer chains and growing silica clusters, which limit aggregation and favor the formation of interconnected pore channels.</w:t>
      </w:r>
    </w:p>
    <w:p w14:paraId="36EC3B1B" w14:textId="60698E86" w:rsidR="00037D1C" w:rsidRPr="005A3244" w:rsidRDefault="00037D1C" w:rsidP="00E0245A">
      <w:pPr>
        <w:ind w:firstLine="567"/>
        <w:rPr>
          <w:rFonts w:cs="Times New Roman"/>
          <w:bCs/>
          <w:sz w:val="24"/>
          <w:szCs w:val="24"/>
          <w:lang w:val="en-US"/>
        </w:rPr>
      </w:pPr>
      <w:r w:rsidRPr="005A3244">
        <w:rPr>
          <w:rFonts w:cs="Times New Roman"/>
          <w:bCs/>
          <w:sz w:val="24"/>
          <w:szCs w:val="24"/>
          <w:lang w:val="en-US"/>
        </w:rPr>
        <w:t>Overall, the combined analysis using BET, V–t, BJH, and DFT methods demonstrates that PAN–SiO₂ hybrid nanocomposites possess a hierarchical pore structure characterized by dominant microporosity and a significant contribution of mesopores. Such a multiscale architecture provides an optimal balance between adsorption capacity and transport properties and is a direct consequence of the sol–gel synthesis in the presence of polymer chains. The results clearly show that the pore structure of the hybrid materials can be effectively tuned by varying the composition, making them promising candidates for advanced adsorption and separation applications.</w:t>
      </w:r>
    </w:p>
    <w:p w14:paraId="6079428C" w14:textId="266CCE28" w:rsidR="00B70721" w:rsidRPr="005A3244" w:rsidRDefault="00B70721" w:rsidP="00E0245A">
      <w:pPr>
        <w:ind w:firstLine="567"/>
        <w:rPr>
          <w:rFonts w:cs="Times New Roman"/>
          <w:b/>
          <w:bCs/>
          <w:color w:val="0070C0"/>
          <w:sz w:val="24"/>
          <w:szCs w:val="24"/>
          <w:lang w:val="en-US"/>
        </w:rPr>
      </w:pPr>
      <w:r w:rsidRPr="005A3244">
        <w:rPr>
          <w:rFonts w:cs="Times New Roman"/>
          <w:b/>
          <w:bCs/>
          <w:color w:val="0070C0"/>
          <w:sz w:val="24"/>
          <w:szCs w:val="24"/>
          <w:lang w:val="en-US"/>
        </w:rPr>
        <w:t>3.5. Water Vapor Adsorption within the de Boer–Zwikker Framework</w:t>
      </w:r>
    </w:p>
    <w:p w14:paraId="76E47545" w14:textId="77777777" w:rsidR="00C47C6F" w:rsidRPr="005A3244" w:rsidRDefault="00C47C6F" w:rsidP="00C47C6F">
      <w:pPr>
        <w:ind w:firstLine="567"/>
        <w:rPr>
          <w:rFonts w:cs="Times New Roman"/>
          <w:bCs/>
          <w:sz w:val="24"/>
          <w:szCs w:val="24"/>
          <w:lang w:val="en-US"/>
        </w:rPr>
      </w:pPr>
      <w:r w:rsidRPr="005A3244">
        <w:rPr>
          <w:rFonts w:cs="Times New Roman"/>
          <w:bCs/>
          <w:sz w:val="24"/>
          <w:szCs w:val="24"/>
          <w:lang w:val="en-US"/>
        </w:rPr>
        <w:t>The adsorption behavior of water vapor in PAN–SiO₂ hybrid nanocomposites was analyzed within the framework of the de Boer–Zwikker theory, which is specifically applicable to systems involving polar adsorbates and polar porous materials. This approach allows separation of “true adsorption,” associated with direct interaction between adsorbate molecules and active surface sites, from secondary processes such as capillary condensation and cluster formation.</w:t>
      </w:r>
    </w:p>
    <w:p w14:paraId="1023C589" w14:textId="67B49B70" w:rsidR="00B70721" w:rsidRDefault="00C47C6F" w:rsidP="00C47C6F">
      <w:pPr>
        <w:ind w:firstLine="567"/>
        <w:rPr>
          <w:rFonts w:cs="Times New Roman"/>
          <w:bCs/>
          <w:sz w:val="24"/>
          <w:szCs w:val="24"/>
          <w:lang w:val="en-US"/>
        </w:rPr>
      </w:pPr>
      <w:r w:rsidRPr="005A3244">
        <w:rPr>
          <w:rFonts w:cs="Times New Roman"/>
          <w:bCs/>
          <w:sz w:val="24"/>
          <w:szCs w:val="24"/>
          <w:lang w:val="en-US"/>
        </w:rPr>
        <w:t>Linearization of the adsorption isotherms in the coordinates of the de Boer–Zwikker equation reveals a fundamental difference between pristine components and hybrid systems. For PAN–SiO₂ composites, the adsorption plots remain nearly linear over the entire range of relative pressures, whereas for pristine PAN and SiO₂, linearity is observed only within a narrow region at high relative pressures (P/P₀ ≈ 0.8–0.9). This indicates that, in hybrid systems, adsorption proceeds predominantly via direct interaction with surface functional groups and is not significantly influenced by capillary condensation effects</w:t>
      </w:r>
      <w:r w:rsidR="00575857" w:rsidRPr="005A3244">
        <w:rPr>
          <w:rFonts w:cs="Times New Roman"/>
          <w:bCs/>
          <w:sz w:val="24"/>
          <w:szCs w:val="24"/>
          <w:lang w:val="en-US"/>
        </w:rPr>
        <w:t xml:space="preserve"> (figure 7)</w:t>
      </w:r>
      <w:r w:rsidRPr="005A3244">
        <w:rPr>
          <w:rFonts w:cs="Times New Roman"/>
          <w:bCs/>
          <w:sz w:val="24"/>
          <w:szCs w:val="24"/>
          <w:lang w:val="en-US"/>
        </w:rPr>
        <w:t>.</w:t>
      </w:r>
      <w:r w:rsidR="00785B13" w:rsidRPr="00785B13">
        <w:rPr>
          <w:noProof/>
          <w:sz w:val="24"/>
          <w:szCs w:val="24"/>
          <w:lang w:val="en-US"/>
        </w:rPr>
        <w:t xml:space="preserve"> </w:t>
      </w:r>
    </w:p>
    <w:p w14:paraId="1562E897" w14:textId="77777777" w:rsidR="003427F2" w:rsidRPr="005A3244" w:rsidRDefault="003427F2" w:rsidP="00C47C6F">
      <w:pPr>
        <w:ind w:firstLine="567"/>
        <w:rPr>
          <w:rFonts w:cs="Times New Roman"/>
          <w:bCs/>
          <w:sz w:val="24"/>
          <w:szCs w:val="24"/>
          <w:lang w:val="en-US"/>
        </w:rPr>
      </w:pP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5"/>
        <w:gridCol w:w="4730"/>
      </w:tblGrid>
      <w:tr w:rsidR="00B70721" w:rsidRPr="005A3244" w14:paraId="322974EC" w14:textId="77777777" w:rsidTr="006150A7">
        <w:tc>
          <w:tcPr>
            <w:tcW w:w="4620" w:type="dxa"/>
          </w:tcPr>
          <w:p w14:paraId="240C0F58" w14:textId="7686525E" w:rsidR="00B70721" w:rsidRPr="005A3244" w:rsidRDefault="00785B13" w:rsidP="00C6013A">
            <w:pPr>
              <w:spacing w:line="360" w:lineRule="auto"/>
              <w:jc w:val="both"/>
              <w:rPr>
                <w:sz w:val="24"/>
                <w:szCs w:val="24"/>
              </w:rPr>
            </w:pPr>
            <w:r>
              <w:rPr>
                <w:noProof/>
                <w:sz w:val="24"/>
                <w:szCs w:val="24"/>
                <w:lang w:val="en-US"/>
              </w:rPr>
              <mc:AlternateContent>
                <mc:Choice Requires="wps">
                  <w:drawing>
                    <wp:anchor distT="0" distB="0" distL="114300" distR="114300" simplePos="0" relativeHeight="251685888" behindDoc="0" locked="0" layoutInCell="1" allowOverlap="1" wp14:anchorId="262861A5" wp14:editId="1EFC7E9C">
                      <wp:simplePos x="0" y="0"/>
                      <wp:positionH relativeFrom="column">
                        <wp:posOffset>2292350</wp:posOffset>
                      </wp:positionH>
                      <wp:positionV relativeFrom="paragraph">
                        <wp:posOffset>182880</wp:posOffset>
                      </wp:positionV>
                      <wp:extent cx="244475" cy="257175"/>
                      <wp:effectExtent l="0" t="0" r="22225" b="28575"/>
                      <wp:wrapNone/>
                      <wp:docPr id="27" name="Надпись 27"/>
                      <wp:cNvGraphicFramePr/>
                      <a:graphic xmlns:a="http://schemas.openxmlformats.org/drawingml/2006/main">
                        <a:graphicData uri="http://schemas.microsoft.com/office/word/2010/wordprocessingShape">
                          <wps:wsp>
                            <wps:cNvSpPr txBox="1"/>
                            <wps:spPr>
                              <a:xfrm>
                                <a:off x="0" y="0"/>
                                <a:ext cx="244475" cy="257175"/>
                              </a:xfrm>
                              <a:prstGeom prst="rect">
                                <a:avLst/>
                              </a:prstGeom>
                              <a:solidFill>
                                <a:schemeClr val="lt1"/>
                              </a:solidFill>
                              <a:ln w="6350">
                                <a:solidFill>
                                  <a:prstClr val="black"/>
                                </a:solidFill>
                              </a:ln>
                            </wps:spPr>
                            <wps:txbx>
                              <w:txbxContent>
                                <w:p w14:paraId="5E00ED2C" w14:textId="56E43598" w:rsidR="00785B13" w:rsidRPr="00A324C9" w:rsidRDefault="00785B13" w:rsidP="00785B13">
                                  <w:pPr>
                                    <w:ind w:firstLine="0"/>
                                    <w:rPr>
                                      <w:lang w:val="en-US"/>
                                    </w:rPr>
                                  </w:pPr>
                                  <w:r>
                                    <w:rPr>
                                      <w:lang w:val="en-U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2861A5" id="Надпись 27" o:spid="_x0000_s1040" type="#_x0000_t202" style="position:absolute;left:0;text-align:left;margin-left:180.5pt;margin-top:14.4pt;width:19.25pt;height:20.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" fillcolor="white [3201]" strokeweight=".5pt">
                      <v:textbox>
                        <w:txbxContent>
                          <w:p w14:paraId="5E00ED2C" w14:textId="56E43598" w:rsidR="00785B13" w:rsidRPr="00A324C9" w:rsidRDefault="00785B13" w:rsidP="00785B13">
                            <w:pPr>
                              <w:ind w:firstLine="0"/>
                              <w:rPr>
                                <w:lang w:val="en-US"/>
                              </w:rPr>
                            </w:pPr>
                            <w:r>
                              <w:rPr>
                                <w:lang w:val="en-US"/>
                              </w:rPr>
                              <w:t>a</w:t>
                            </w:r>
                          </w:p>
                        </w:txbxContent>
                      </v:textbox>
                    </v:shape>
                  </w:pict>
                </mc:Fallback>
              </mc:AlternateContent>
            </w:r>
            <w:r w:rsidRPr="005A3244">
              <w:rPr>
                <w:rFonts w:eastAsiaTheme="minorHAnsi" w:cstheme="minorBidi"/>
                <w:sz w:val="24"/>
                <w:szCs w:val="24"/>
                <w:lang w:val="ru-RU" w:eastAsia="en-US"/>
              </w:rPr>
              <w:object w:dxaOrig="8295" w:dyaOrig="6960" w14:anchorId="6F5126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226.15pt;height:155.1pt" o:ole="">
                  <v:imagedata r:id="rId22" o:title=""/>
                </v:shape>
                <o:OLEObject Type="Embed" ProgID="ChemWindow.Document" ShapeID="_x0000_i1037" DrawAspect="Content" ObjectID="_1838889792" r:id="rId23"/>
              </w:object>
            </w:r>
          </w:p>
        </w:tc>
        <w:tc>
          <w:tcPr>
            <w:tcW w:w="4725" w:type="dxa"/>
          </w:tcPr>
          <w:p w14:paraId="7DB55FCF" w14:textId="1A12D6C3" w:rsidR="00B70721" w:rsidRPr="005A3244" w:rsidRDefault="00785B13" w:rsidP="00C6013A">
            <w:pPr>
              <w:spacing w:line="360" w:lineRule="auto"/>
              <w:jc w:val="both"/>
              <w:rPr>
                <w:sz w:val="24"/>
                <w:szCs w:val="24"/>
              </w:rPr>
            </w:pPr>
            <w:r>
              <w:rPr>
                <w:noProof/>
                <w:sz w:val="24"/>
                <w:szCs w:val="24"/>
                <w:lang w:val="en-US"/>
              </w:rPr>
              <mc:AlternateContent>
                <mc:Choice Requires="wps">
                  <w:drawing>
                    <wp:anchor distT="0" distB="0" distL="114300" distR="114300" simplePos="0" relativeHeight="251687936" behindDoc="0" locked="0" layoutInCell="1" allowOverlap="1" wp14:anchorId="10AF53D2" wp14:editId="3A74FADA">
                      <wp:simplePos x="0" y="0"/>
                      <wp:positionH relativeFrom="column">
                        <wp:posOffset>2334895</wp:posOffset>
                      </wp:positionH>
                      <wp:positionV relativeFrom="paragraph">
                        <wp:posOffset>182880</wp:posOffset>
                      </wp:positionV>
                      <wp:extent cx="244475" cy="257175"/>
                      <wp:effectExtent l="0" t="0" r="22225" b="28575"/>
                      <wp:wrapNone/>
                      <wp:docPr id="28" name="Надпись 28"/>
                      <wp:cNvGraphicFramePr/>
                      <a:graphic xmlns:a="http://schemas.openxmlformats.org/drawingml/2006/main">
                        <a:graphicData uri="http://schemas.microsoft.com/office/word/2010/wordprocessingShape">
                          <wps:wsp>
                            <wps:cNvSpPr txBox="1"/>
                            <wps:spPr>
                              <a:xfrm>
                                <a:off x="0" y="0"/>
                                <a:ext cx="244475" cy="257175"/>
                              </a:xfrm>
                              <a:prstGeom prst="rect">
                                <a:avLst/>
                              </a:prstGeom>
                              <a:solidFill>
                                <a:schemeClr val="lt1"/>
                              </a:solidFill>
                              <a:ln w="6350">
                                <a:solidFill>
                                  <a:prstClr val="black"/>
                                </a:solidFill>
                              </a:ln>
                            </wps:spPr>
                            <wps:txbx>
                              <w:txbxContent>
                                <w:p w14:paraId="6C355E60" w14:textId="00E5D24E" w:rsidR="00785B13" w:rsidRPr="00A324C9" w:rsidRDefault="00785B13" w:rsidP="00785B13">
                                  <w:pPr>
                                    <w:ind w:firstLine="0"/>
                                    <w:rPr>
                                      <w:lang w:val="en-US"/>
                                    </w:rPr>
                                  </w:pPr>
                                  <w:r>
                                    <w:rPr>
                                      <w:lang w:val="en-U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AF53D2" id="Надпись 28" o:spid="_x0000_s1041" type="#_x0000_t202" style="position:absolute;left:0;text-align:left;margin-left:183.85pt;margin-top:14.4pt;width:19.25pt;height:20.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" fillcolor="white [3201]" strokeweight=".5pt">
                      <v:textbox>
                        <w:txbxContent>
                          <w:p w14:paraId="6C355E60" w14:textId="00E5D24E" w:rsidR="00785B13" w:rsidRPr="00A324C9" w:rsidRDefault="00785B13" w:rsidP="00785B13">
                            <w:pPr>
                              <w:ind w:firstLine="0"/>
                              <w:rPr>
                                <w:lang w:val="en-US"/>
                              </w:rPr>
                            </w:pPr>
                            <w:r>
                              <w:rPr>
                                <w:lang w:val="en-US"/>
                              </w:rPr>
                              <w:t>b</w:t>
                            </w:r>
                          </w:p>
                        </w:txbxContent>
                      </v:textbox>
                    </v:shape>
                  </w:pict>
                </mc:Fallback>
              </mc:AlternateContent>
            </w:r>
            <w:r w:rsidRPr="005A3244">
              <w:rPr>
                <w:rFonts w:eastAsiaTheme="minorHAnsi" w:cstheme="minorBidi"/>
                <w:sz w:val="24"/>
                <w:szCs w:val="24"/>
                <w:lang w:val="ru-RU" w:eastAsia="en-US"/>
              </w:rPr>
              <w:object w:dxaOrig="8295" w:dyaOrig="6960" w14:anchorId="1743EDF2">
                <v:shape id="_x0000_i1038" type="#_x0000_t75" style="width:231.25pt;height:155.1pt" o:ole="">
                  <v:imagedata r:id="rId24" o:title=""/>
                </v:shape>
                <o:OLEObject Type="Embed" ProgID="ChemWindow.Document" ShapeID="_x0000_i1038" DrawAspect="Content" ObjectID="_1838889793" r:id="rId25"/>
              </w:object>
            </w:r>
          </w:p>
        </w:tc>
      </w:tr>
    </w:tbl>
    <w:p w14:paraId="1E040DBC" w14:textId="44203B98" w:rsidR="00B70721" w:rsidRPr="005A3244" w:rsidRDefault="006150A7" w:rsidP="00B70721">
      <w:pPr>
        <w:ind w:firstLine="0"/>
        <w:jc w:val="center"/>
        <w:rPr>
          <w:rFonts w:cs="Times New Roman"/>
          <w:b/>
          <w:bCs/>
          <w:sz w:val="24"/>
          <w:szCs w:val="24"/>
          <w:lang w:val="en-US"/>
        </w:rPr>
      </w:pPr>
      <w:r w:rsidRPr="005A3244">
        <w:rPr>
          <w:rFonts w:cs="Times New Roman"/>
          <w:b/>
          <w:bCs/>
          <w:sz w:val="24"/>
          <w:szCs w:val="24"/>
          <w:lang w:val="en-US"/>
        </w:rPr>
        <w:t xml:space="preserve">Figure </w:t>
      </w:r>
      <w:r w:rsidR="000C64B0" w:rsidRPr="005A3244">
        <w:rPr>
          <w:rFonts w:cs="Times New Roman"/>
          <w:b/>
          <w:bCs/>
          <w:sz w:val="24"/>
          <w:szCs w:val="24"/>
          <w:lang w:val="en-US"/>
        </w:rPr>
        <w:t>7</w:t>
      </w:r>
      <w:r w:rsidRPr="005A3244">
        <w:rPr>
          <w:rFonts w:cs="Times New Roman"/>
          <w:b/>
          <w:bCs/>
          <w:sz w:val="24"/>
          <w:szCs w:val="24"/>
          <w:lang w:val="en-US"/>
        </w:rPr>
        <w:t>. Water vapor adsorption isotherms represented in de Boer–Zwikker coordinates: (a) pristine PAN (1) and SiO₂ (2); (b) PAN–SiO₂ hybrid (1) and PAN–SiO₂–glycerol (2). The enhanced linearity observed for hybrid systems indicates true adsorption dominated by surface interactions.</w:t>
      </w:r>
    </w:p>
    <w:p w14:paraId="0E81ADB8" w14:textId="77777777" w:rsidR="003427F2" w:rsidRDefault="003427F2" w:rsidP="002743BC">
      <w:pPr>
        <w:ind w:firstLine="567"/>
        <w:rPr>
          <w:rFonts w:cs="Times New Roman"/>
          <w:bCs/>
          <w:sz w:val="24"/>
          <w:szCs w:val="24"/>
          <w:lang w:val="en-US"/>
        </w:rPr>
      </w:pPr>
    </w:p>
    <w:p w14:paraId="1F932F13" w14:textId="77777777" w:rsidR="002743BC" w:rsidRPr="005A3244" w:rsidRDefault="002743BC" w:rsidP="002743BC">
      <w:pPr>
        <w:ind w:firstLine="567"/>
        <w:rPr>
          <w:rFonts w:cs="Times New Roman"/>
          <w:bCs/>
          <w:sz w:val="24"/>
          <w:szCs w:val="24"/>
          <w:lang w:val="en-US"/>
        </w:rPr>
      </w:pPr>
      <w:r w:rsidRPr="005A3244">
        <w:rPr>
          <w:rFonts w:cs="Times New Roman"/>
          <w:bCs/>
          <w:sz w:val="24"/>
          <w:szCs w:val="24"/>
          <w:lang w:val="en-US"/>
        </w:rPr>
        <w:t>The extended linearity of the de Boer–Zwikker plots suggests that, within the investigated pressure range, water molecules are predominantly bound to active adsorption centers and do not form a free or bulk-like condensed phase in the pore space. In contrast, the limited linearity observed for pristine materials indicates the onset of capillary condensation and clustering at higher relative pressures.</w:t>
      </w:r>
    </w:p>
    <w:p w14:paraId="48836798" w14:textId="01C648BD" w:rsidR="002743BC" w:rsidRPr="005A3244" w:rsidRDefault="002743BC" w:rsidP="002743BC">
      <w:pPr>
        <w:ind w:firstLine="567"/>
        <w:rPr>
          <w:rFonts w:cs="Times New Roman"/>
          <w:bCs/>
          <w:sz w:val="24"/>
          <w:szCs w:val="24"/>
          <w:lang w:val="en-US"/>
        </w:rPr>
      </w:pPr>
      <w:r w:rsidRPr="005A3244">
        <w:rPr>
          <w:rFonts w:cs="Times New Roman"/>
          <w:bCs/>
          <w:sz w:val="24"/>
          <w:szCs w:val="24"/>
          <w:lang w:val="en-US"/>
        </w:rPr>
        <w:t xml:space="preserve">The adsorption parameters calculated from water vapor isotherms further support this conclusion. The monolayer capacity (Xₘ) increases from 0.0059 g/g for pristine PAN to 0.0097 g/g for PAN–SiO₂ (1:3), while the specific surface area </w:t>
      </w:r>
      <w:r w:rsidR="00575857" w:rsidRPr="005A3244">
        <w:rPr>
          <w:rFonts w:cs="Times New Roman"/>
          <w:bCs/>
          <w:sz w:val="24"/>
          <w:szCs w:val="24"/>
          <w:lang w:val="en-US"/>
        </w:rPr>
        <w:t>(S</w:t>
      </w:r>
      <w:r w:rsidRPr="005A3244">
        <w:rPr>
          <w:rFonts w:cs="Times New Roman"/>
          <w:bCs/>
          <w:sz w:val="24"/>
          <w:szCs w:val="24"/>
          <w:vertAlign w:val="subscript"/>
          <w:lang w:val="en-US"/>
        </w:rPr>
        <w:t>BET</w:t>
      </w:r>
      <w:r w:rsidRPr="005A3244">
        <w:rPr>
          <w:rFonts w:cs="Times New Roman"/>
          <w:bCs/>
          <w:sz w:val="24"/>
          <w:szCs w:val="24"/>
          <w:lang w:val="en-US"/>
        </w:rPr>
        <w:t>) increases from 2.72 to 34.07 m²/g, indicating significant development of accessible adsorption sites. At the same time, the Gibbs free energy values increase from −2.19 J/mol (PAN) to −6.32 J/mol, with integral values reaching −7.40 J/mol, reflecting stronger adsorbate–adsorbent interactions.</w:t>
      </w:r>
    </w:p>
    <w:p w14:paraId="0B657567" w14:textId="77777777" w:rsidR="002743BC" w:rsidRPr="005A3244" w:rsidRDefault="002743BC" w:rsidP="002743BC">
      <w:pPr>
        <w:ind w:firstLine="567"/>
        <w:rPr>
          <w:rFonts w:cs="Times New Roman"/>
          <w:bCs/>
          <w:sz w:val="24"/>
          <w:szCs w:val="24"/>
          <w:lang w:val="en-US"/>
        </w:rPr>
      </w:pPr>
      <w:r w:rsidRPr="005A3244">
        <w:rPr>
          <w:rFonts w:cs="Times New Roman"/>
          <w:bCs/>
          <w:sz w:val="24"/>
          <w:szCs w:val="24"/>
          <w:lang w:val="en-US"/>
        </w:rPr>
        <w:t>These thermodynamic parameters should not be interpreted as direct outputs of the de Boer–Zwikker model but rather as complementary evidence supporting the dominance of surface-controlled adsorption. The increase in adsorption energy confirms the enhanced interaction between water molecules and the hybrid surface, which is consistent with the observed linear behavior of the isotherms.</w:t>
      </w:r>
    </w:p>
    <w:p w14:paraId="45B9E2A8" w14:textId="77777777" w:rsidR="002743BC" w:rsidRPr="005A3244" w:rsidRDefault="002743BC" w:rsidP="002743BC">
      <w:pPr>
        <w:ind w:firstLine="567"/>
        <w:rPr>
          <w:rFonts w:cs="Times New Roman"/>
          <w:bCs/>
          <w:sz w:val="24"/>
          <w:szCs w:val="24"/>
          <w:lang w:val="en-US"/>
        </w:rPr>
      </w:pPr>
      <w:r w:rsidRPr="005A3244">
        <w:rPr>
          <w:rFonts w:cs="Times New Roman"/>
          <w:bCs/>
          <w:sz w:val="24"/>
          <w:szCs w:val="24"/>
          <w:lang w:val="en-US"/>
        </w:rPr>
        <w:t>From a structural perspective, this behavior is attributed to the presence of a high density of hydrophilic functional groups, including silanol (Si–OH) groups and nitrile (–C≡N) groups of PAN, which act as active adsorption centers capable of forming hydrogen bonds. The formation of hybrid networks during sol–gel synthesis leads to a more homogeneous distribution of these sites, resulting in a uniform adsorption mechanism over a wide pressure range.</w:t>
      </w:r>
    </w:p>
    <w:p w14:paraId="4C3531FB" w14:textId="375E0949" w:rsidR="00B70721" w:rsidRPr="005A3244" w:rsidRDefault="002743BC" w:rsidP="002743BC">
      <w:pPr>
        <w:ind w:firstLine="567"/>
        <w:rPr>
          <w:rFonts w:cs="Times New Roman"/>
          <w:bCs/>
          <w:sz w:val="24"/>
          <w:szCs w:val="24"/>
          <w:lang w:val="en-US"/>
        </w:rPr>
      </w:pPr>
      <w:r w:rsidRPr="005A3244">
        <w:rPr>
          <w:rFonts w:cs="Times New Roman"/>
          <w:bCs/>
          <w:sz w:val="24"/>
          <w:szCs w:val="24"/>
          <w:lang w:val="en-US"/>
        </w:rPr>
        <w:t>Thus, the combined analysis of adsorption isotherms and their linearization in de Boer–Zwikker coordinates demonstrates that water adsorption in PAN–SiO₂ hybrid nanocomposites is governed by surface interactions rather than by capillary condensation. This confirms that, within the studied pressure range, water is present in a bound state associated with active surface sites, and the adsorption process should be considered as a surface-controlled phenomenon determined by the distribution and accessibility of adsorption centers.</w:t>
      </w:r>
    </w:p>
    <w:p w14:paraId="23E0AD26" w14:textId="6DDB3F45" w:rsidR="00B70721" w:rsidRPr="005A3244" w:rsidRDefault="00107922" w:rsidP="00E0245A">
      <w:pPr>
        <w:ind w:firstLine="567"/>
        <w:rPr>
          <w:rFonts w:cs="Times New Roman"/>
          <w:b/>
          <w:bCs/>
          <w:color w:val="0070C0"/>
          <w:sz w:val="24"/>
          <w:szCs w:val="24"/>
          <w:lang w:val="en-US"/>
        </w:rPr>
      </w:pPr>
      <w:r w:rsidRPr="005A3244">
        <w:rPr>
          <w:rFonts w:cs="Times New Roman"/>
          <w:b/>
          <w:bCs/>
          <w:color w:val="0070C0"/>
          <w:sz w:val="24"/>
          <w:szCs w:val="24"/>
          <w:lang w:val="en-US"/>
        </w:rPr>
        <w:t>3.6. Adsorption–Calorimetric Analysis of PAN–SiO₂ Hybrid Nanocomposites</w:t>
      </w:r>
    </w:p>
    <w:p w14:paraId="79B19080" w14:textId="46F6A451" w:rsidR="00C71D05" w:rsidRPr="005A3244" w:rsidRDefault="00F40406" w:rsidP="00C71D05">
      <w:pPr>
        <w:ind w:firstLine="567"/>
        <w:rPr>
          <w:rFonts w:cs="Times New Roman"/>
          <w:bCs/>
          <w:i/>
          <w:sz w:val="24"/>
          <w:szCs w:val="24"/>
          <w:lang w:val="en-US"/>
        </w:rPr>
      </w:pPr>
      <w:r w:rsidRPr="005A3244">
        <w:rPr>
          <w:rFonts w:cs="Times New Roman"/>
          <w:bCs/>
          <w:sz w:val="24"/>
          <w:szCs w:val="24"/>
          <w:lang w:val="en-US"/>
        </w:rPr>
        <w:t xml:space="preserve">Polymer–inorganic hybrid nanocomposites based on PAN–SiO₂ represent a class of structurally complex systems in which adsorption behavior is governed by a combination of geometric confinement, surface chemistry, and energetic heterogeneity. </w:t>
      </w:r>
      <w:r w:rsidR="00C71D05" w:rsidRPr="005A3244">
        <w:rPr>
          <w:rFonts w:cs="Times New Roman"/>
          <w:bCs/>
          <w:i/>
          <w:sz w:val="24"/>
          <w:szCs w:val="24"/>
          <w:lang w:val="en-US"/>
        </w:rPr>
        <w:t>Water adsorption: multi-stage energetics and cooperative structuring</w:t>
      </w:r>
    </w:p>
    <w:p w14:paraId="168B1494" w14:textId="77777777" w:rsidR="00B67525" w:rsidRPr="005A3244" w:rsidRDefault="00B67525" w:rsidP="00B67525">
      <w:pPr>
        <w:ind w:firstLine="0"/>
        <w:jc w:val="center"/>
        <w:rPr>
          <w:rFonts w:cs="Times New Roman"/>
          <w:bCs/>
          <w:sz w:val="24"/>
          <w:szCs w:val="24"/>
          <w:lang w:val="en-US"/>
        </w:rPr>
      </w:pPr>
      <w:r w:rsidRPr="005A3244">
        <w:rPr>
          <w:noProof/>
          <w:sz w:val="24"/>
          <w:szCs w:val="24"/>
          <w:lang w:val="en-US"/>
        </w:rPr>
        <w:drawing>
          <wp:inline distT="0" distB="0" distL="0" distR="0" wp14:anchorId="728E7CA4" wp14:editId="3C83BC81">
            <wp:extent cx="3106616" cy="2883535"/>
            <wp:effectExtent l="0" t="0" r="0" b="0"/>
            <wp:docPr id="9" name="Диаграмма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0A12ED4" w14:textId="77777777" w:rsidR="00B67525" w:rsidRPr="005A3244" w:rsidRDefault="00B67525" w:rsidP="00B67525">
      <w:pPr>
        <w:ind w:firstLine="0"/>
        <w:jc w:val="center"/>
        <w:rPr>
          <w:rFonts w:cs="Times New Roman"/>
          <w:b/>
          <w:bCs/>
          <w:sz w:val="24"/>
          <w:szCs w:val="24"/>
          <w:lang w:val="en-US"/>
        </w:rPr>
      </w:pPr>
      <w:r w:rsidRPr="005A3244">
        <w:rPr>
          <w:rFonts w:cs="Times New Roman"/>
          <w:b/>
          <w:bCs/>
          <w:sz w:val="24"/>
          <w:szCs w:val="24"/>
          <w:lang w:val="en-US"/>
        </w:rPr>
        <w:t>Figure 8. Water adsorption isotherm of PAN–SiO₂ hybrid nanocomposite at 303 K plotted as ln(p/p₀) vs adsorption capacity; experimental data are well reproduced by TVFM modeling, indicating a micropore-filling adsorption mechanism.</w:t>
      </w:r>
    </w:p>
    <w:p w14:paraId="1FF21C8D" w14:textId="77777777" w:rsidR="003427F2" w:rsidRDefault="003427F2" w:rsidP="00C71D05">
      <w:pPr>
        <w:ind w:firstLine="567"/>
        <w:rPr>
          <w:rFonts w:cs="Times New Roman"/>
          <w:bCs/>
          <w:sz w:val="24"/>
          <w:szCs w:val="24"/>
          <w:lang w:val="en-US"/>
        </w:rPr>
      </w:pPr>
    </w:p>
    <w:p w14:paraId="2C017DBB" w14:textId="54561E1D" w:rsidR="00C71D05" w:rsidRPr="005A3244" w:rsidRDefault="00C71D05" w:rsidP="00C71D05">
      <w:pPr>
        <w:ind w:firstLine="567"/>
        <w:rPr>
          <w:rFonts w:cs="Times New Roman"/>
          <w:bCs/>
          <w:sz w:val="24"/>
          <w:szCs w:val="24"/>
          <w:lang w:val="en-US"/>
        </w:rPr>
      </w:pPr>
      <w:r w:rsidRPr="005A3244">
        <w:rPr>
          <w:rFonts w:cs="Times New Roman"/>
          <w:bCs/>
          <w:sz w:val="24"/>
          <w:szCs w:val="24"/>
          <w:lang w:val="en-US"/>
        </w:rPr>
        <w:t>The adsorption isotherm of water vapor exhibits a strongly non-linear profile in semi-logarithmic coordinates, with a pronounced concave region at low relative pressures (P/P₀ ≈ 0.06–0.075), indicating the presence of high-energy adsorption sites. These sites correspond to silanol (Si–OH) groups of silica and nitrile (–C≡N) groups of PAN, which act as hydrogen-bond donors and acceptors, respectively. The strong interaction between water molecules and these functional groups leads to preferential adsorption at low coverage</w:t>
      </w:r>
      <w:r w:rsidR="002341BF" w:rsidRPr="005A3244">
        <w:rPr>
          <w:rFonts w:cs="Times New Roman"/>
          <w:bCs/>
          <w:sz w:val="24"/>
          <w:szCs w:val="24"/>
          <w:lang w:val="en-US"/>
        </w:rPr>
        <w:t xml:space="preserve"> (figure 8)</w:t>
      </w:r>
      <w:r w:rsidRPr="005A3244">
        <w:rPr>
          <w:rFonts w:cs="Times New Roman"/>
          <w:bCs/>
          <w:sz w:val="24"/>
          <w:szCs w:val="24"/>
          <w:lang w:val="en-US"/>
        </w:rPr>
        <w:t>.</w:t>
      </w:r>
    </w:p>
    <w:p w14:paraId="352D7228" w14:textId="77777777" w:rsidR="00C90005" w:rsidRPr="005A3244" w:rsidRDefault="00C90005" w:rsidP="00C90005">
      <w:pPr>
        <w:ind w:firstLine="567"/>
        <w:rPr>
          <w:rFonts w:cs="Times New Roman"/>
          <w:bCs/>
          <w:sz w:val="24"/>
          <w:szCs w:val="24"/>
          <w:lang w:val="en-US"/>
        </w:rPr>
      </w:pPr>
      <w:r w:rsidRPr="005A3244">
        <w:rPr>
          <w:rFonts w:cs="Times New Roman"/>
          <w:bCs/>
          <w:sz w:val="24"/>
          <w:szCs w:val="24"/>
          <w:lang w:val="en-US"/>
        </w:rPr>
        <w:t>At higher relative pressures, the isotherm transitions into a quasi-linear region and ultimately reaches saturation at 3.79 mmol/g (P/P₀ ≈ 0.95), indicating the filling of the pore space. Compared to alternative hybrid systems (e.g., 2.92 mmol/g), this value confirms the enhanced adsorption capacity of PAN–SiO₂ nanocomposites and reflects both increased surface functionality and improved pore accessibility.</w:t>
      </w:r>
    </w:p>
    <w:p w14:paraId="34A65E44" w14:textId="77777777" w:rsidR="00C90005" w:rsidRPr="005A3244" w:rsidRDefault="00C90005" w:rsidP="00C90005">
      <w:pPr>
        <w:ind w:firstLine="567"/>
        <w:rPr>
          <w:rFonts w:cs="Times New Roman"/>
          <w:bCs/>
          <w:sz w:val="24"/>
          <w:szCs w:val="24"/>
          <w:lang w:val="en-US"/>
        </w:rPr>
      </w:pPr>
      <w:r w:rsidRPr="005A3244">
        <w:rPr>
          <w:rFonts w:cs="Times New Roman"/>
          <w:bCs/>
          <w:sz w:val="24"/>
          <w:szCs w:val="24"/>
          <w:lang w:val="en-US"/>
        </w:rPr>
        <w:t>The adsorption mechanism is quantitatively described within the framework of the Theory of Volume Filling of Micropores (TVFM) using a three-term equation:</w:t>
      </w:r>
    </w:p>
    <w:p w14:paraId="6D7B1651" w14:textId="77777777" w:rsidR="00C90005" w:rsidRPr="005A3244" w:rsidRDefault="00C90005" w:rsidP="00C90005">
      <w:pPr>
        <w:ind w:firstLine="0"/>
        <w:jc w:val="center"/>
        <w:rPr>
          <w:rFonts w:cs="Times New Roman"/>
          <w:bCs/>
          <w:sz w:val="24"/>
          <w:szCs w:val="24"/>
          <w:lang w:val="en-US"/>
        </w:rPr>
      </w:pPr>
      <w:r w:rsidRPr="005A3244">
        <w:rPr>
          <w:noProof/>
          <w:sz w:val="24"/>
          <w:szCs w:val="24"/>
          <w:lang w:val="en-US"/>
        </w:rPr>
        <w:drawing>
          <wp:inline distT="0" distB="0" distL="0" distR="0" wp14:anchorId="2614036F" wp14:editId="3E9BD431">
            <wp:extent cx="4525108" cy="541272"/>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704608" cy="562743"/>
                    </a:xfrm>
                    <a:prstGeom prst="rect">
                      <a:avLst/>
                    </a:prstGeom>
                  </pic:spPr>
                </pic:pic>
              </a:graphicData>
            </a:graphic>
          </wp:inline>
        </w:drawing>
      </w:r>
    </w:p>
    <w:p w14:paraId="1FA0B9E6" w14:textId="77777777" w:rsidR="00BC30E0" w:rsidRPr="005A3244" w:rsidRDefault="00BC30E0" w:rsidP="00BC30E0">
      <w:pPr>
        <w:ind w:firstLine="567"/>
        <w:rPr>
          <w:rFonts w:cs="Times New Roman"/>
          <w:bCs/>
          <w:sz w:val="24"/>
          <w:szCs w:val="24"/>
          <w:lang w:val="en-US"/>
        </w:rPr>
      </w:pPr>
      <w:r w:rsidRPr="005A3244">
        <w:rPr>
          <w:rFonts w:cs="Times New Roman"/>
          <w:bCs/>
          <w:sz w:val="24"/>
          <w:szCs w:val="24"/>
          <w:lang w:val="en-US"/>
        </w:rPr>
        <w:t>The corresponding characteristic energies (13.93, 4.08, and 0.59 kJ/mol) indicate the presence of three distinct adsorption domains. The first term, contributing approximately 85% of the total adsorption, corresponds to strong adsorption in micropores. The second and third terms represent intermediate and weak adsorption in larger pores and less active regions.</w:t>
      </w:r>
    </w:p>
    <w:p w14:paraId="7366F238" w14:textId="419B8D39" w:rsidR="00C71D05" w:rsidRPr="005A3244" w:rsidRDefault="00BC30E0" w:rsidP="00BC30E0">
      <w:pPr>
        <w:ind w:firstLine="567"/>
        <w:rPr>
          <w:rFonts w:cs="Times New Roman"/>
          <w:bCs/>
          <w:sz w:val="24"/>
          <w:szCs w:val="24"/>
          <w:lang w:val="en-US"/>
        </w:rPr>
      </w:pPr>
      <w:r w:rsidRPr="005A3244">
        <w:rPr>
          <w:rFonts w:cs="Times New Roman"/>
          <w:bCs/>
          <w:sz w:val="24"/>
          <w:szCs w:val="24"/>
          <w:lang w:val="en-US"/>
        </w:rPr>
        <w:t>This distribution of adsorption energies reflects a heterogeneous energy landscape, where adsorption proceeds through multiple parallel mechanisms depending on pore size and surface functionality.</w:t>
      </w:r>
    </w:p>
    <w:p w14:paraId="59A7FC4C" w14:textId="77777777" w:rsidR="00BC30E0" w:rsidRPr="005A3244" w:rsidRDefault="00BC30E0" w:rsidP="00BC30E0">
      <w:pPr>
        <w:ind w:firstLine="567"/>
        <w:rPr>
          <w:rFonts w:cs="Times New Roman"/>
          <w:bCs/>
          <w:i/>
          <w:sz w:val="24"/>
          <w:szCs w:val="24"/>
          <w:lang w:val="en-US"/>
        </w:rPr>
      </w:pPr>
      <w:r w:rsidRPr="005A3244">
        <w:rPr>
          <w:rFonts w:cs="Times New Roman"/>
          <w:bCs/>
          <w:i/>
          <w:sz w:val="24"/>
          <w:szCs w:val="24"/>
          <w:lang w:val="en-US"/>
        </w:rPr>
        <w:t>Thermodynamic transitions and clustering effects</w:t>
      </w:r>
    </w:p>
    <w:p w14:paraId="7C74B538" w14:textId="7773BEDD" w:rsidR="00BC30E0" w:rsidRPr="005A3244" w:rsidRDefault="00BC30E0" w:rsidP="00BC30E0">
      <w:pPr>
        <w:ind w:firstLine="567"/>
        <w:rPr>
          <w:rFonts w:cs="Times New Roman"/>
          <w:bCs/>
          <w:sz w:val="24"/>
          <w:szCs w:val="24"/>
          <w:lang w:val="en-US"/>
        </w:rPr>
      </w:pPr>
      <w:r w:rsidRPr="005A3244">
        <w:rPr>
          <w:rFonts w:cs="Times New Roman"/>
          <w:bCs/>
          <w:sz w:val="24"/>
          <w:szCs w:val="24"/>
          <w:lang w:val="en-US"/>
        </w:rPr>
        <w:t>The calorimetric data provide a detailed picture of the energetics of adsorption. The differential heat of adsorption exhibits a stepwise profile, decreasing from 110 kJ/mol at low coverage to 43.54 kJ/mol at high coverage, which corresponds to the heat of condensation of water</w:t>
      </w:r>
      <w:r w:rsidR="002341BF" w:rsidRPr="005A3244">
        <w:rPr>
          <w:rFonts w:cs="Times New Roman"/>
          <w:bCs/>
          <w:sz w:val="24"/>
          <w:szCs w:val="24"/>
          <w:lang w:val="en-US"/>
        </w:rPr>
        <w:t xml:space="preserve"> (figure 9)</w:t>
      </w:r>
      <w:r w:rsidRPr="005A3244">
        <w:rPr>
          <w:rFonts w:cs="Times New Roman"/>
          <w:bCs/>
          <w:sz w:val="24"/>
          <w:szCs w:val="24"/>
          <w:lang w:val="en-US"/>
        </w:rPr>
        <w:t>. This behavior indicates a transition from strong surface adsorption to bulk-like condensation within the pore system.</w:t>
      </w:r>
    </w:p>
    <w:p w14:paraId="2A51AFB5" w14:textId="29AE4F45" w:rsidR="00DC3EA9" w:rsidRPr="005A3244" w:rsidRDefault="003C00F6" w:rsidP="00DC3EA9">
      <w:pPr>
        <w:ind w:firstLine="0"/>
        <w:jc w:val="center"/>
        <w:rPr>
          <w:rFonts w:cs="Times New Roman"/>
          <w:bCs/>
          <w:sz w:val="24"/>
          <w:szCs w:val="24"/>
          <w:lang w:val="en-US"/>
        </w:rPr>
      </w:pPr>
      <w:r>
        <w:rPr>
          <w:noProof/>
          <w:sz w:val="24"/>
          <w:szCs w:val="24"/>
          <w:lang w:val="en-US"/>
        </w:rPr>
        <mc:AlternateContent>
          <mc:Choice Requires="wps">
            <w:drawing>
              <wp:anchor distT="0" distB="0" distL="114300" distR="114300" simplePos="0" relativeHeight="251688960" behindDoc="0" locked="0" layoutInCell="1" allowOverlap="1" wp14:anchorId="5F3B95DF" wp14:editId="1B167692">
                <wp:simplePos x="0" y="0"/>
                <wp:positionH relativeFrom="column">
                  <wp:posOffset>116058</wp:posOffset>
                </wp:positionH>
                <wp:positionV relativeFrom="paragraph">
                  <wp:posOffset>774700</wp:posOffset>
                </wp:positionV>
                <wp:extent cx="1378585" cy="362585"/>
                <wp:effectExtent l="0" t="6350" r="24765" b="24765"/>
                <wp:wrapNone/>
                <wp:docPr id="29" name="Надпись 29"/>
                <wp:cNvGraphicFramePr/>
                <a:graphic xmlns:a="http://schemas.openxmlformats.org/drawingml/2006/main">
                  <a:graphicData uri="http://schemas.microsoft.com/office/word/2010/wordprocessingShape">
                    <wps:wsp>
                      <wps:cNvSpPr txBox="1"/>
                      <wps:spPr>
                        <a:xfrm rot="16200000">
                          <a:off x="0" y="0"/>
                          <a:ext cx="1378585" cy="362585"/>
                        </a:xfrm>
                        <a:prstGeom prst="rect">
                          <a:avLst/>
                        </a:prstGeom>
                        <a:noFill/>
                        <a:ln w="6350">
                          <a:solidFill>
                            <a:schemeClr val="bg1"/>
                          </a:solidFill>
                        </a:ln>
                      </wps:spPr>
                      <wps:txbx>
                        <w:txbxContent>
                          <w:p w14:paraId="6CA67378" w14:textId="08615091" w:rsidR="00612657" w:rsidRPr="00612657" w:rsidRDefault="00612657" w:rsidP="00612657">
                            <w:pPr>
                              <w:ind w:firstLine="0"/>
                              <w:rPr>
                                <w:sz w:val="20"/>
                                <w:szCs w:val="20"/>
                                <w:lang w:val="en-US"/>
                              </w:rPr>
                            </w:pPr>
                            <w:r w:rsidRPr="00612657">
                              <w:rPr>
                                <w:sz w:val="20"/>
                                <w:szCs w:val="20"/>
                                <w:lang w:val="en-US"/>
                              </w:rPr>
                              <w:t>Q</w:t>
                            </w:r>
                            <w:r w:rsidR="00BA543C">
                              <w:rPr>
                                <w:sz w:val="20"/>
                                <w:szCs w:val="20"/>
                                <w:vertAlign w:val="subscript"/>
                                <w:lang w:val="en-US"/>
                              </w:rPr>
                              <w:t>d</w:t>
                            </w:r>
                            <w:r w:rsidRPr="00612657">
                              <w:rPr>
                                <w:sz w:val="20"/>
                                <w:szCs w:val="20"/>
                                <w:lang w:val="en-US"/>
                              </w:rPr>
                              <w:t>, kJ/mol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3B95DF" id="Надпись 29" o:spid="_x0000_s1042" type="#_x0000_t202" style="position:absolute;left:0;text-align:left;margin-left:9.15pt;margin-top:61pt;width:108.55pt;height:28.55pt;rotation:-9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" filled="f" strokecolor="white [3212]" strokeweight=".5pt">
                <v:textbox>
                  <w:txbxContent>
                    <w:p w14:paraId="6CA67378" w14:textId="08615091" w:rsidR="00612657" w:rsidRPr="00612657" w:rsidRDefault="00612657" w:rsidP="00612657">
                      <w:pPr>
                        <w:ind w:firstLine="0"/>
                        <w:rPr>
                          <w:sz w:val="20"/>
                          <w:szCs w:val="20"/>
                          <w:lang w:val="en-US"/>
                        </w:rPr>
                      </w:pPr>
                      <w:r w:rsidRPr="00612657">
                        <w:rPr>
                          <w:sz w:val="20"/>
                          <w:szCs w:val="20"/>
                          <w:lang w:val="en-US"/>
                        </w:rPr>
                        <w:t>Q</w:t>
                      </w:r>
                      <w:r w:rsidR="00BA543C">
                        <w:rPr>
                          <w:sz w:val="20"/>
                          <w:szCs w:val="20"/>
                          <w:vertAlign w:val="subscript"/>
                          <w:lang w:val="en-US"/>
                        </w:rPr>
                        <w:t>d</w:t>
                      </w:r>
                      <w:r w:rsidRPr="00612657">
                        <w:rPr>
                          <w:sz w:val="20"/>
                          <w:szCs w:val="20"/>
                          <w:lang w:val="en-US"/>
                        </w:rPr>
                        <w:t>, kJ/mol</w:t>
                      </w:r>
                    </w:p>
                  </w:txbxContent>
                </v:textbox>
              </v:shape>
            </w:pict>
          </mc:Fallback>
        </mc:AlternateContent>
      </w:r>
      <w:r w:rsidR="00612657">
        <w:rPr>
          <w:noProof/>
          <w:sz w:val="24"/>
          <w:szCs w:val="24"/>
          <w:lang w:val="en-US"/>
        </w:rPr>
        <mc:AlternateContent>
          <mc:Choice Requires="wps">
            <w:drawing>
              <wp:anchor distT="0" distB="0" distL="114300" distR="114300" simplePos="0" relativeHeight="251694080" behindDoc="0" locked="0" layoutInCell="1" allowOverlap="1" wp14:anchorId="4D26D7A6" wp14:editId="20385B32">
                <wp:simplePos x="0" y="0"/>
                <wp:positionH relativeFrom="column">
                  <wp:posOffset>2696210</wp:posOffset>
                </wp:positionH>
                <wp:positionV relativeFrom="paragraph">
                  <wp:posOffset>2296942</wp:posOffset>
                </wp:positionV>
                <wp:extent cx="811970" cy="252046"/>
                <wp:effectExtent l="0" t="0" r="0" b="0"/>
                <wp:wrapNone/>
                <wp:docPr id="30" name="Надпись 30"/>
                <wp:cNvGraphicFramePr/>
                <a:graphic xmlns:a="http://schemas.openxmlformats.org/drawingml/2006/main">
                  <a:graphicData uri="http://schemas.microsoft.com/office/word/2010/wordprocessingShape">
                    <wps:wsp>
                      <wps:cNvSpPr txBox="1"/>
                      <wps:spPr>
                        <a:xfrm>
                          <a:off x="0" y="0"/>
                          <a:ext cx="811970" cy="252046"/>
                        </a:xfrm>
                        <a:prstGeom prst="rect">
                          <a:avLst/>
                        </a:prstGeom>
                        <a:noFill/>
                        <a:ln w="6350">
                          <a:noFill/>
                        </a:ln>
                      </wps:spPr>
                      <wps:txbx>
                        <w:txbxContent>
                          <w:p w14:paraId="13FE29F7" w14:textId="77777777" w:rsidR="00612657" w:rsidRPr="00612657" w:rsidRDefault="00612657" w:rsidP="00612657">
                            <w:pPr>
                              <w:ind w:firstLine="0"/>
                              <w:rPr>
                                <w:lang w:val="en-US"/>
                              </w:rPr>
                            </w:pPr>
                            <w:r w:rsidRPr="00BA543C">
                              <w:rPr>
                                <w:i/>
                                <w:lang w:val="en-US"/>
                              </w:rPr>
                              <w:t>a</w:t>
                            </w:r>
                            <w:r>
                              <w:rPr>
                                <w:lang w:val="en-US"/>
                              </w:rPr>
                              <w:t>, mmol/g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26D7A6" id="Надпись 30" o:spid="_x0000_s1043" type="#_x0000_t202" style="position:absolute;left:0;text-align:left;margin-left:212.3pt;margin-top:180.85pt;width:63.95pt;height:19.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" filled="f" stroked="f" strokeweight=".5pt">
                <v:textbox>
                  <w:txbxContent>
                    <w:p w14:paraId="13FE29F7" w14:textId="77777777" w:rsidR="00612657" w:rsidRPr="00612657" w:rsidRDefault="00612657" w:rsidP="00612657">
                      <w:pPr>
                        <w:ind w:firstLine="0"/>
                        <w:rPr>
                          <w:lang w:val="en-US"/>
                        </w:rPr>
                      </w:pPr>
                      <w:r w:rsidRPr="00BA543C">
                        <w:rPr>
                          <w:i/>
                          <w:lang w:val="en-US"/>
                        </w:rPr>
                        <w:t>a</w:t>
                      </w:r>
                      <w:r>
                        <w:rPr>
                          <w:lang w:val="en-US"/>
                        </w:rPr>
                        <w:t>, mmol/g</w:t>
                      </w:r>
                    </w:p>
                  </w:txbxContent>
                </v:textbox>
              </v:shape>
            </w:pict>
          </mc:Fallback>
        </mc:AlternateContent>
      </w:r>
      <w:r w:rsidR="00612657">
        <w:rPr>
          <w:noProof/>
          <w:sz w:val="24"/>
          <w:szCs w:val="24"/>
          <w:lang w:val="en-US"/>
        </w:rPr>
        <mc:AlternateContent>
          <mc:Choice Requires="wps">
            <w:drawing>
              <wp:anchor distT="0" distB="0" distL="114300" distR="114300" simplePos="0" relativeHeight="251692032" behindDoc="0" locked="0" layoutInCell="1" allowOverlap="1" wp14:anchorId="16E71F33" wp14:editId="1F23C75C">
                <wp:simplePos x="0" y="0"/>
                <wp:positionH relativeFrom="column">
                  <wp:posOffset>4505911</wp:posOffset>
                </wp:positionH>
                <wp:positionV relativeFrom="paragraph">
                  <wp:posOffset>2448120</wp:posOffset>
                </wp:positionV>
                <wp:extent cx="463062" cy="119722"/>
                <wp:effectExtent l="0" t="0" r="13335" b="13970"/>
                <wp:wrapNone/>
                <wp:docPr id="31" name="Прямоугольник 31"/>
                <wp:cNvGraphicFramePr/>
                <a:graphic xmlns:a="http://schemas.openxmlformats.org/drawingml/2006/main">
                  <a:graphicData uri="http://schemas.microsoft.com/office/word/2010/wordprocessingShape">
                    <wps:wsp>
                      <wps:cNvSpPr/>
                      <wps:spPr>
                        <a:xfrm>
                          <a:off x="0" y="0"/>
                          <a:ext cx="463062" cy="11972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A3B236" id="Прямоугольник 31" o:spid="_x0000_s1026" style="position:absolute;margin-left:354.8pt;margin-top:192.75pt;width:36.45pt;height:9.4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" fillcolor="white [3212]" strokecolor="white [3212]" strokeweight="2pt"/>
            </w:pict>
          </mc:Fallback>
        </mc:AlternateContent>
      </w:r>
      <w:r w:rsidR="00DC3EA9" w:rsidRPr="005A3244">
        <w:rPr>
          <w:noProof/>
          <w:sz w:val="24"/>
          <w:szCs w:val="24"/>
          <w:lang w:val="en-US"/>
        </w:rPr>
        <w:drawing>
          <wp:inline distT="0" distB="0" distL="0" distR="0" wp14:anchorId="6F7D0137" wp14:editId="6C598013">
            <wp:extent cx="4263091" cy="2569845"/>
            <wp:effectExtent l="0" t="0" r="0" b="1905"/>
            <wp:docPr id="4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4004" b="6380"/>
                    <a:stretch/>
                  </pic:blipFill>
                  <pic:spPr bwMode="auto">
                    <a:xfrm>
                      <a:off x="0" y="0"/>
                      <a:ext cx="4263091" cy="2569845"/>
                    </a:xfrm>
                    <a:prstGeom prst="rect">
                      <a:avLst/>
                    </a:prstGeom>
                    <a:noFill/>
                    <a:ln>
                      <a:noFill/>
                    </a:ln>
                    <a:extLst>
                      <a:ext uri="{53640926-AAD7-44D8-BBD7-CCE9431645EC}">
                        <a14:shadowObscured xmlns:a14="http://schemas.microsoft.com/office/drawing/2010/main"/>
                      </a:ext>
                    </a:extLst>
                  </pic:spPr>
                </pic:pic>
              </a:graphicData>
            </a:graphic>
          </wp:inline>
        </w:drawing>
      </w:r>
    </w:p>
    <w:p w14:paraId="33B1DEA9" w14:textId="2A64CF55" w:rsidR="00DC3EA9" w:rsidRPr="005A3244" w:rsidRDefault="00F7635D" w:rsidP="00F7635D">
      <w:pPr>
        <w:ind w:firstLine="0"/>
        <w:jc w:val="center"/>
        <w:rPr>
          <w:rFonts w:cs="Times New Roman"/>
          <w:b/>
          <w:bCs/>
          <w:sz w:val="24"/>
          <w:szCs w:val="24"/>
          <w:lang w:val="en-US"/>
        </w:rPr>
      </w:pPr>
      <w:r w:rsidRPr="005A3244">
        <w:rPr>
          <w:rFonts w:cs="Times New Roman"/>
          <w:b/>
          <w:bCs/>
          <w:sz w:val="24"/>
          <w:szCs w:val="24"/>
          <w:lang w:val="en-US"/>
        </w:rPr>
        <w:t xml:space="preserve">Figure </w:t>
      </w:r>
      <w:r w:rsidR="00316732" w:rsidRPr="005A3244">
        <w:rPr>
          <w:rFonts w:cs="Times New Roman"/>
          <w:b/>
          <w:bCs/>
          <w:sz w:val="24"/>
          <w:szCs w:val="24"/>
          <w:lang w:val="en-US"/>
        </w:rPr>
        <w:t>9</w:t>
      </w:r>
      <w:r w:rsidRPr="005A3244">
        <w:rPr>
          <w:rFonts w:cs="Times New Roman"/>
          <w:b/>
          <w:bCs/>
          <w:sz w:val="24"/>
          <w:szCs w:val="24"/>
          <w:lang w:val="en-US"/>
        </w:rPr>
        <w:t>. Differential heats of water adsorption on PAN–SiO₂ hybrid nanocomposites at 303 K; the dashed horizontal line denotes the heat of condensation, highlighting the evolution of adsorption energetics with increasing surface coverage.</w:t>
      </w:r>
    </w:p>
    <w:p w14:paraId="263E033F" w14:textId="77777777" w:rsidR="003427F2" w:rsidRDefault="003427F2" w:rsidP="00BC30E0">
      <w:pPr>
        <w:ind w:firstLine="567"/>
        <w:rPr>
          <w:rFonts w:cs="Times New Roman"/>
          <w:bCs/>
          <w:sz w:val="24"/>
          <w:szCs w:val="24"/>
          <w:lang w:val="en-US"/>
        </w:rPr>
      </w:pPr>
    </w:p>
    <w:p w14:paraId="3ACDB471" w14:textId="77777777" w:rsidR="003C2CBE" w:rsidRPr="005A3244" w:rsidRDefault="003C2CBE" w:rsidP="003C2CBE">
      <w:pPr>
        <w:ind w:firstLine="567"/>
        <w:rPr>
          <w:rFonts w:cs="Times New Roman"/>
          <w:bCs/>
          <w:sz w:val="24"/>
          <w:szCs w:val="24"/>
          <w:lang w:val="en-US"/>
        </w:rPr>
      </w:pPr>
      <w:r w:rsidRPr="005A3244">
        <w:rPr>
          <w:rFonts w:cs="Times New Roman"/>
          <w:bCs/>
          <w:sz w:val="24"/>
          <w:szCs w:val="24"/>
          <w:lang w:val="en-US"/>
        </w:rPr>
        <w:t>The adsorption process can be divided into five distinct stages:</w:t>
      </w:r>
    </w:p>
    <w:p w14:paraId="00901BE3" w14:textId="77777777" w:rsidR="003C2CBE" w:rsidRPr="005A3244" w:rsidRDefault="003C2CBE" w:rsidP="003C2CBE">
      <w:pPr>
        <w:ind w:firstLine="567"/>
        <w:rPr>
          <w:rFonts w:cs="Times New Roman"/>
          <w:bCs/>
          <w:sz w:val="24"/>
          <w:szCs w:val="24"/>
          <w:lang w:val="en-US"/>
        </w:rPr>
      </w:pPr>
      <w:r w:rsidRPr="005A3244">
        <w:rPr>
          <w:rFonts w:cs="Times New Roman"/>
          <w:bCs/>
          <w:sz w:val="24"/>
          <w:szCs w:val="24"/>
          <w:lang w:val="en-US"/>
        </w:rPr>
        <w:t>Primary adsorption (0–0.48 mmol/g):</w:t>
      </w:r>
    </w:p>
    <w:p w14:paraId="338A75DC" w14:textId="77777777" w:rsidR="003C2CBE" w:rsidRPr="005A3244" w:rsidRDefault="003C2CBE" w:rsidP="003C2CBE">
      <w:pPr>
        <w:ind w:firstLine="567"/>
        <w:rPr>
          <w:rFonts w:cs="Times New Roman"/>
          <w:bCs/>
          <w:sz w:val="24"/>
          <w:szCs w:val="24"/>
          <w:lang w:val="en-US"/>
        </w:rPr>
      </w:pPr>
      <w:r w:rsidRPr="005A3244">
        <w:rPr>
          <w:rFonts w:cs="Times New Roman"/>
          <w:bCs/>
          <w:sz w:val="24"/>
          <w:szCs w:val="24"/>
          <w:lang w:val="en-US"/>
        </w:rPr>
        <w:t>Strong adsorption on high-energy sites, with heat decreasing from 110 to 65.3 kJ/mol.</w:t>
      </w:r>
    </w:p>
    <w:p w14:paraId="61D83AB5" w14:textId="77777777" w:rsidR="003C2CBE" w:rsidRPr="005A3244" w:rsidRDefault="003C2CBE" w:rsidP="003C2CBE">
      <w:pPr>
        <w:ind w:firstLine="567"/>
        <w:rPr>
          <w:rFonts w:cs="Times New Roman"/>
          <w:bCs/>
          <w:sz w:val="24"/>
          <w:szCs w:val="24"/>
          <w:lang w:val="en-US"/>
        </w:rPr>
      </w:pPr>
      <w:r w:rsidRPr="005A3244">
        <w:rPr>
          <w:rFonts w:cs="Times New Roman"/>
          <w:bCs/>
          <w:sz w:val="24"/>
          <w:szCs w:val="24"/>
          <w:lang w:val="en-US"/>
        </w:rPr>
        <w:t>This stage corresponds to direct interaction with surface functional groups.</w:t>
      </w:r>
    </w:p>
    <w:p w14:paraId="3F512987" w14:textId="77777777" w:rsidR="003C2CBE" w:rsidRPr="005A3244" w:rsidRDefault="003C2CBE" w:rsidP="003C2CBE">
      <w:pPr>
        <w:ind w:firstLine="567"/>
        <w:rPr>
          <w:rFonts w:cs="Times New Roman"/>
          <w:bCs/>
          <w:sz w:val="24"/>
          <w:szCs w:val="24"/>
          <w:lang w:val="en-US"/>
        </w:rPr>
      </w:pPr>
      <w:r w:rsidRPr="005A3244">
        <w:rPr>
          <w:rFonts w:cs="Times New Roman"/>
          <w:bCs/>
          <w:sz w:val="24"/>
          <w:szCs w:val="24"/>
          <w:lang w:val="en-US"/>
        </w:rPr>
        <w:lastRenderedPageBreak/>
        <w:t>Secondary adsorption (0.48–1.0 mmol/g):</w:t>
      </w:r>
    </w:p>
    <w:p w14:paraId="27B2F444" w14:textId="77777777" w:rsidR="003C2CBE" w:rsidRPr="005A3244" w:rsidRDefault="003C2CBE" w:rsidP="003C2CBE">
      <w:pPr>
        <w:ind w:firstLine="567"/>
        <w:rPr>
          <w:rFonts w:cs="Times New Roman"/>
          <w:bCs/>
          <w:sz w:val="24"/>
          <w:szCs w:val="24"/>
          <w:lang w:val="en-US"/>
        </w:rPr>
      </w:pPr>
      <w:r w:rsidRPr="005A3244">
        <w:rPr>
          <w:rFonts w:cs="Times New Roman"/>
          <w:bCs/>
          <w:sz w:val="24"/>
          <w:szCs w:val="24"/>
          <w:lang w:val="en-US"/>
        </w:rPr>
        <w:t>Moderate decrease in heat (65.3–53.6 kJ/mol), indicating adsorption on less energetic sites.</w:t>
      </w:r>
    </w:p>
    <w:p w14:paraId="17518E7A" w14:textId="77777777" w:rsidR="003C2CBE" w:rsidRPr="005A3244" w:rsidRDefault="003C2CBE" w:rsidP="003C2CBE">
      <w:pPr>
        <w:ind w:firstLine="567"/>
        <w:rPr>
          <w:rFonts w:cs="Times New Roman"/>
          <w:bCs/>
          <w:sz w:val="24"/>
          <w:szCs w:val="24"/>
          <w:lang w:val="en-US"/>
        </w:rPr>
      </w:pPr>
      <w:r w:rsidRPr="005A3244">
        <w:rPr>
          <w:rFonts w:cs="Times New Roman"/>
          <w:bCs/>
          <w:sz w:val="24"/>
          <w:szCs w:val="24"/>
          <w:lang w:val="en-US"/>
        </w:rPr>
        <w:t>Cooperative adsorption (1.0–1.76 mmol/g):</w:t>
      </w:r>
    </w:p>
    <w:p w14:paraId="2ED39385" w14:textId="77777777" w:rsidR="003C2CBE" w:rsidRPr="005A3244" w:rsidRDefault="003C2CBE" w:rsidP="003C2CBE">
      <w:pPr>
        <w:ind w:firstLine="567"/>
        <w:rPr>
          <w:rFonts w:cs="Times New Roman"/>
          <w:bCs/>
          <w:sz w:val="24"/>
          <w:szCs w:val="24"/>
          <w:lang w:val="en-US"/>
        </w:rPr>
      </w:pPr>
      <w:r w:rsidRPr="005A3244">
        <w:rPr>
          <w:rFonts w:cs="Times New Roman"/>
          <w:bCs/>
          <w:sz w:val="24"/>
          <w:szCs w:val="24"/>
          <w:lang w:val="en-US"/>
        </w:rPr>
        <w:t>Slight increase in heat (53.8–55.8 kJ/mol), suggesting the onset of intermolecular interactions.</w:t>
      </w:r>
    </w:p>
    <w:p w14:paraId="05CF2DD0" w14:textId="77777777" w:rsidR="003C2CBE" w:rsidRPr="005A3244" w:rsidRDefault="003C2CBE" w:rsidP="003C2CBE">
      <w:pPr>
        <w:ind w:firstLine="567"/>
        <w:rPr>
          <w:rFonts w:cs="Times New Roman"/>
          <w:bCs/>
          <w:sz w:val="24"/>
          <w:szCs w:val="24"/>
          <w:lang w:val="en-US"/>
        </w:rPr>
      </w:pPr>
      <w:r w:rsidRPr="005A3244">
        <w:rPr>
          <w:rFonts w:cs="Times New Roman"/>
          <w:bCs/>
          <w:sz w:val="24"/>
          <w:szCs w:val="24"/>
          <w:lang w:val="en-US"/>
        </w:rPr>
        <w:t>Cluster stabilization (1.76–2.32 mmol/g):</w:t>
      </w:r>
    </w:p>
    <w:p w14:paraId="781D2587" w14:textId="77777777" w:rsidR="003C2CBE" w:rsidRPr="005A3244" w:rsidRDefault="003C2CBE" w:rsidP="003C2CBE">
      <w:pPr>
        <w:ind w:firstLine="567"/>
        <w:rPr>
          <w:rFonts w:cs="Times New Roman"/>
          <w:bCs/>
          <w:sz w:val="24"/>
          <w:szCs w:val="24"/>
          <w:lang w:val="en-US"/>
        </w:rPr>
      </w:pPr>
      <w:r w:rsidRPr="005A3244">
        <w:rPr>
          <w:rFonts w:cs="Times New Roman"/>
          <w:bCs/>
          <w:sz w:val="24"/>
          <w:szCs w:val="24"/>
          <w:lang w:val="en-US"/>
        </w:rPr>
        <w:t>Nearly constant heat (~56 kJ/mol), corresponding to stable cluster formation.</w:t>
      </w:r>
    </w:p>
    <w:p w14:paraId="1135A940" w14:textId="77777777" w:rsidR="003C2CBE" w:rsidRPr="005A3244" w:rsidRDefault="003C2CBE" w:rsidP="003C2CBE">
      <w:pPr>
        <w:ind w:firstLine="567"/>
        <w:rPr>
          <w:rFonts w:cs="Times New Roman"/>
          <w:bCs/>
          <w:sz w:val="24"/>
          <w:szCs w:val="24"/>
          <w:lang w:val="en-US"/>
        </w:rPr>
      </w:pPr>
      <w:r w:rsidRPr="005A3244">
        <w:rPr>
          <w:rFonts w:cs="Times New Roman"/>
          <w:bCs/>
          <w:sz w:val="24"/>
          <w:szCs w:val="24"/>
          <w:lang w:val="en-US"/>
        </w:rPr>
        <w:t>Pore filling (2.32–3.0 mmol/g):</w:t>
      </w:r>
    </w:p>
    <w:p w14:paraId="52AAC3CE" w14:textId="77777777" w:rsidR="003C2CBE" w:rsidRPr="005A3244" w:rsidRDefault="003C2CBE" w:rsidP="003C2CBE">
      <w:pPr>
        <w:ind w:firstLine="567"/>
        <w:rPr>
          <w:rFonts w:cs="Times New Roman"/>
          <w:bCs/>
          <w:sz w:val="24"/>
          <w:szCs w:val="24"/>
          <w:lang w:val="en-US"/>
        </w:rPr>
      </w:pPr>
      <w:r w:rsidRPr="005A3244">
        <w:rPr>
          <w:rFonts w:cs="Times New Roman"/>
          <w:bCs/>
          <w:sz w:val="24"/>
          <w:szCs w:val="24"/>
          <w:lang w:val="en-US"/>
        </w:rPr>
        <w:t>Decrease in heat toward 43.54 kJ/mol, indicating transition to a quasi-liquid phase.</w:t>
      </w:r>
    </w:p>
    <w:p w14:paraId="3A4D193B" w14:textId="77777777" w:rsidR="003C2CBE" w:rsidRDefault="003C2CBE" w:rsidP="00BC30E0">
      <w:pPr>
        <w:ind w:firstLine="567"/>
        <w:rPr>
          <w:rFonts w:cs="Times New Roman"/>
          <w:bCs/>
          <w:sz w:val="24"/>
          <w:szCs w:val="24"/>
          <w:lang w:val="en-US"/>
        </w:rPr>
      </w:pPr>
    </w:p>
    <w:p w14:paraId="68160E30" w14:textId="49F79648" w:rsidR="00BC30E0" w:rsidRPr="005A3244" w:rsidRDefault="00BC30E0" w:rsidP="00BC30E0">
      <w:pPr>
        <w:ind w:firstLine="567"/>
        <w:rPr>
          <w:rFonts w:cs="Times New Roman"/>
          <w:bCs/>
          <w:sz w:val="24"/>
          <w:szCs w:val="24"/>
          <w:lang w:val="en-US"/>
        </w:rPr>
      </w:pPr>
      <w:r w:rsidRPr="005A3244">
        <w:rPr>
          <w:rFonts w:cs="Times New Roman"/>
          <w:bCs/>
          <w:sz w:val="24"/>
          <w:szCs w:val="24"/>
          <w:lang w:val="en-US"/>
        </w:rPr>
        <w:t>The formation of hydrogen-bonded clusters (H₂O)ₙ within the pore space is a key feature of this system and reflects cooperative adsorption under confinement.</w:t>
      </w:r>
    </w:p>
    <w:p w14:paraId="60717DE6" w14:textId="77777777" w:rsidR="00BC30E0" w:rsidRPr="005A3244" w:rsidRDefault="00BC30E0" w:rsidP="00BC30E0">
      <w:pPr>
        <w:ind w:firstLine="567"/>
        <w:rPr>
          <w:rFonts w:cs="Times New Roman"/>
          <w:bCs/>
          <w:i/>
          <w:sz w:val="24"/>
          <w:szCs w:val="24"/>
          <w:lang w:val="en-US"/>
        </w:rPr>
      </w:pPr>
      <w:r w:rsidRPr="005A3244">
        <w:rPr>
          <w:rFonts w:cs="Times New Roman"/>
          <w:bCs/>
          <w:i/>
          <w:sz w:val="24"/>
          <w:szCs w:val="24"/>
          <w:lang w:val="en-US"/>
        </w:rPr>
        <w:t>Entropy and confinement effects</w:t>
      </w:r>
    </w:p>
    <w:p w14:paraId="4BEF2A3A" w14:textId="0777E88E" w:rsidR="00BC30E0" w:rsidRPr="005A3244" w:rsidRDefault="00BC30E0" w:rsidP="00BC30E0">
      <w:pPr>
        <w:ind w:firstLine="567"/>
        <w:rPr>
          <w:rFonts w:cs="Times New Roman"/>
          <w:bCs/>
          <w:sz w:val="24"/>
          <w:szCs w:val="24"/>
          <w:lang w:val="en-US"/>
        </w:rPr>
      </w:pPr>
      <w:r w:rsidRPr="005A3244">
        <w:rPr>
          <w:rFonts w:cs="Times New Roman"/>
          <w:bCs/>
          <w:sz w:val="24"/>
          <w:szCs w:val="24"/>
          <w:lang w:val="en-US"/>
        </w:rPr>
        <w:t>The entropy analysis reveals strong confinement effects. The differential entropy decreases to −147 J/mol·K at low coverage, indicating a highly ordered state of adsorbed molecules. As adsorption progresses, the entropy gradually increases and approaches the value of liquid water at saturation</w:t>
      </w:r>
      <w:r w:rsidR="002341BF" w:rsidRPr="005A3244">
        <w:rPr>
          <w:rFonts w:cs="Times New Roman"/>
          <w:bCs/>
          <w:sz w:val="24"/>
          <w:szCs w:val="24"/>
          <w:lang w:val="en-US"/>
        </w:rPr>
        <w:t xml:space="preserve"> (figure 10)</w:t>
      </w:r>
      <w:r w:rsidRPr="005A3244">
        <w:rPr>
          <w:rFonts w:cs="Times New Roman"/>
          <w:bCs/>
          <w:sz w:val="24"/>
          <w:szCs w:val="24"/>
          <w:lang w:val="en-US"/>
        </w:rPr>
        <w:t>.</w:t>
      </w:r>
    </w:p>
    <w:p w14:paraId="553794B4" w14:textId="7688DCB4" w:rsidR="00D42C7C" w:rsidRPr="005A3244" w:rsidRDefault="00EE3B7E" w:rsidP="00D42C7C">
      <w:pPr>
        <w:ind w:firstLine="0"/>
        <w:jc w:val="center"/>
        <w:rPr>
          <w:rFonts w:cs="Times New Roman"/>
          <w:bCs/>
          <w:sz w:val="24"/>
          <w:szCs w:val="24"/>
          <w:lang w:val="en-US"/>
        </w:rPr>
      </w:pPr>
      <w:r>
        <w:rPr>
          <w:noProof/>
          <w:sz w:val="24"/>
          <w:szCs w:val="24"/>
          <w:lang w:val="en-US"/>
        </w:rPr>
        <mc:AlternateContent>
          <mc:Choice Requires="wps">
            <w:drawing>
              <wp:anchor distT="0" distB="0" distL="114300" distR="114300" simplePos="0" relativeHeight="251696128" behindDoc="0" locked="0" layoutInCell="1" allowOverlap="1" wp14:anchorId="4C79B24F" wp14:editId="683E769B">
                <wp:simplePos x="0" y="0"/>
                <wp:positionH relativeFrom="column">
                  <wp:posOffset>102821</wp:posOffset>
                </wp:positionH>
                <wp:positionV relativeFrom="paragraph">
                  <wp:posOffset>1604743</wp:posOffset>
                </wp:positionV>
                <wp:extent cx="1154723" cy="252046"/>
                <wp:effectExtent l="0" t="0" r="1905" b="0"/>
                <wp:wrapNone/>
                <wp:docPr id="32" name="Надпись 32"/>
                <wp:cNvGraphicFramePr/>
                <a:graphic xmlns:a="http://schemas.openxmlformats.org/drawingml/2006/main">
                  <a:graphicData uri="http://schemas.microsoft.com/office/word/2010/wordprocessingShape">
                    <wps:wsp>
                      <wps:cNvSpPr txBox="1"/>
                      <wps:spPr>
                        <a:xfrm rot="16200000">
                          <a:off x="0" y="0"/>
                          <a:ext cx="1154723" cy="252046"/>
                        </a:xfrm>
                        <a:prstGeom prst="rect">
                          <a:avLst/>
                        </a:prstGeom>
                        <a:noFill/>
                        <a:ln w="6350">
                          <a:noFill/>
                        </a:ln>
                      </wps:spPr>
                      <wps:txbx>
                        <w:txbxContent>
                          <w:p w14:paraId="32329166" w14:textId="5459145D" w:rsidR="003C00F6" w:rsidRPr="00EE3B7E" w:rsidRDefault="003C00F6" w:rsidP="003C00F6">
                            <w:pPr>
                              <w:ind w:firstLine="0"/>
                              <w:rPr>
                                <w:sz w:val="20"/>
                                <w:lang w:val="en-US"/>
                              </w:rPr>
                            </w:pPr>
                            <w:r w:rsidRPr="00EE3B7E">
                              <w:rPr>
                                <w:rFonts w:ascii="Matura MT Script Capitals" w:hAnsi="Matura MT Script Capitals"/>
                                <w:sz w:val="20"/>
                                <w:lang w:val="en-US"/>
                              </w:rPr>
                              <w:t>∆</w:t>
                            </w:r>
                            <w:r w:rsidRPr="00EE3B7E">
                              <w:rPr>
                                <w:sz w:val="20"/>
                                <w:lang w:val="en-US"/>
                              </w:rPr>
                              <w:t>S</w:t>
                            </w:r>
                            <w:r w:rsidRPr="00BA543C">
                              <w:rPr>
                                <w:sz w:val="20"/>
                                <w:vertAlign w:val="subscript"/>
                                <w:lang w:val="en-US"/>
                              </w:rPr>
                              <w:t>d</w:t>
                            </w:r>
                            <w:r w:rsidRPr="00EE3B7E">
                              <w:rPr>
                                <w:sz w:val="20"/>
                                <w:lang w:val="en-US"/>
                              </w:rPr>
                              <w:t xml:space="preserve">, </w:t>
                            </w:r>
                            <w:r w:rsidRPr="00EE3B7E">
                              <w:rPr>
                                <w:sz w:val="20"/>
                                <w:lang w:val="en-US"/>
                              </w:rPr>
                              <w:t>J/mol*K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79B24F" id="Надпись 32" o:spid="_x0000_s1044" type="#_x0000_t202" style="position:absolute;left:0;text-align:left;margin-left:8.1pt;margin-top:126.35pt;width:90.9pt;height:19.85pt;rotation:-9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" filled="f" stroked="f" strokeweight=".5pt">
                <v:textbox>
                  <w:txbxContent>
                    <w:p w14:paraId="32329166" w14:textId="5459145D" w:rsidR="003C00F6" w:rsidRPr="00EE3B7E" w:rsidRDefault="003C00F6" w:rsidP="003C00F6">
                      <w:pPr>
                        <w:ind w:firstLine="0"/>
                        <w:rPr>
                          <w:sz w:val="20"/>
                          <w:lang w:val="en-US"/>
                        </w:rPr>
                      </w:pPr>
                      <w:r w:rsidRPr="00EE3B7E">
                        <w:rPr>
                          <w:rFonts w:ascii="Matura MT Script Capitals" w:hAnsi="Matura MT Script Capitals"/>
                          <w:sz w:val="20"/>
                          <w:lang w:val="en-US"/>
                        </w:rPr>
                        <w:t>∆</w:t>
                      </w:r>
                      <w:r w:rsidRPr="00EE3B7E">
                        <w:rPr>
                          <w:sz w:val="20"/>
                          <w:lang w:val="en-US"/>
                        </w:rPr>
                        <w:t>S</w:t>
                      </w:r>
                      <w:r w:rsidRPr="00BA543C">
                        <w:rPr>
                          <w:sz w:val="20"/>
                          <w:vertAlign w:val="subscript"/>
                          <w:lang w:val="en-US"/>
                        </w:rPr>
                        <w:t>d</w:t>
                      </w:r>
                      <w:r w:rsidRPr="00EE3B7E">
                        <w:rPr>
                          <w:sz w:val="20"/>
                          <w:lang w:val="en-US"/>
                        </w:rPr>
                        <w:t xml:space="preserve">, </w:t>
                      </w:r>
                      <w:r w:rsidRPr="00EE3B7E">
                        <w:rPr>
                          <w:sz w:val="20"/>
                          <w:lang w:val="en-US"/>
                        </w:rPr>
                        <w:t>J/mol*K</w:t>
                      </w:r>
                    </w:p>
                  </w:txbxContent>
                </v:textbox>
              </v:shape>
            </w:pict>
          </mc:Fallback>
        </mc:AlternateContent>
      </w:r>
      <w:r>
        <w:rPr>
          <w:noProof/>
          <w:sz w:val="24"/>
          <w:szCs w:val="24"/>
          <w:lang w:val="en-US"/>
        </w:rPr>
        <mc:AlternateContent>
          <mc:Choice Requires="wps">
            <w:drawing>
              <wp:anchor distT="0" distB="0" distL="114300" distR="114300" simplePos="0" relativeHeight="251699200" behindDoc="0" locked="0" layoutInCell="1" allowOverlap="1" wp14:anchorId="5B8BE6BE" wp14:editId="36128DC0">
                <wp:simplePos x="0" y="0"/>
                <wp:positionH relativeFrom="column">
                  <wp:posOffset>4143375</wp:posOffset>
                </wp:positionH>
                <wp:positionV relativeFrom="paragraph">
                  <wp:posOffset>41128</wp:posOffset>
                </wp:positionV>
                <wp:extent cx="811530" cy="251460"/>
                <wp:effectExtent l="0" t="0" r="0" b="0"/>
                <wp:wrapNone/>
                <wp:docPr id="34" name="Надпись 34"/>
                <wp:cNvGraphicFramePr/>
                <a:graphic xmlns:a="http://schemas.openxmlformats.org/drawingml/2006/main">
                  <a:graphicData uri="http://schemas.microsoft.com/office/word/2010/wordprocessingShape">
                    <wps:wsp>
                      <wps:cNvSpPr txBox="1"/>
                      <wps:spPr>
                        <a:xfrm>
                          <a:off x="0" y="0"/>
                          <a:ext cx="811530" cy="251460"/>
                        </a:xfrm>
                        <a:prstGeom prst="rect">
                          <a:avLst/>
                        </a:prstGeom>
                        <a:noFill/>
                        <a:ln w="6350">
                          <a:noFill/>
                        </a:ln>
                      </wps:spPr>
                      <wps:txbx>
                        <w:txbxContent>
                          <w:p w14:paraId="6608AB2B" w14:textId="77777777" w:rsidR="003C00F6" w:rsidRPr="00612657" w:rsidRDefault="003C00F6" w:rsidP="003C00F6">
                            <w:pPr>
                              <w:ind w:firstLine="0"/>
                              <w:rPr>
                                <w:lang w:val="en-US"/>
                              </w:rPr>
                            </w:pPr>
                            <w:r w:rsidRPr="00BA543C">
                              <w:rPr>
                                <w:i/>
                                <w:lang w:val="en-US"/>
                              </w:rPr>
                              <w:t>a</w:t>
                            </w:r>
                            <w:r>
                              <w:rPr>
                                <w:lang w:val="en-US"/>
                              </w:rPr>
                              <w:t>, mmol/g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8BE6BE" id="Надпись 34" o:spid="_x0000_s1045" type="#_x0000_t202" style="position:absolute;left:0;text-align:left;margin-left:326.25pt;margin-top:3.25pt;width:63.9pt;height:19.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" filled="f" stroked="f" strokeweight=".5pt">
                <v:textbox>
                  <w:txbxContent>
                    <w:p w14:paraId="6608AB2B" w14:textId="77777777" w:rsidR="003C00F6" w:rsidRPr="00612657" w:rsidRDefault="003C00F6" w:rsidP="003C00F6">
                      <w:pPr>
                        <w:ind w:firstLine="0"/>
                        <w:rPr>
                          <w:lang w:val="en-US"/>
                        </w:rPr>
                      </w:pPr>
                      <w:r w:rsidRPr="00BA543C">
                        <w:rPr>
                          <w:i/>
                          <w:lang w:val="en-US"/>
                        </w:rPr>
                        <w:t>a</w:t>
                      </w:r>
                      <w:r>
                        <w:rPr>
                          <w:lang w:val="en-US"/>
                        </w:rPr>
                        <w:t>, mmol/g</w:t>
                      </w:r>
                    </w:p>
                  </w:txbxContent>
                </v:textbox>
              </v:shape>
            </w:pict>
          </mc:Fallback>
        </mc:AlternateContent>
      </w:r>
      <w:r>
        <w:rPr>
          <w:noProof/>
          <w:sz w:val="24"/>
          <w:szCs w:val="24"/>
          <w:lang w:val="en-US"/>
        </w:rPr>
        <mc:AlternateContent>
          <mc:Choice Requires="wps">
            <w:drawing>
              <wp:anchor distT="0" distB="0" distL="114300" distR="114300" simplePos="0" relativeHeight="251697152" behindDoc="0" locked="0" layoutInCell="1" allowOverlap="1" wp14:anchorId="1D6A4902" wp14:editId="1E9865F3">
                <wp:simplePos x="0" y="0"/>
                <wp:positionH relativeFrom="column">
                  <wp:posOffset>4067322</wp:posOffset>
                </wp:positionH>
                <wp:positionV relativeFrom="paragraph">
                  <wp:posOffset>139065</wp:posOffset>
                </wp:positionV>
                <wp:extent cx="539115" cy="76200"/>
                <wp:effectExtent l="0" t="0" r="13335" b="19050"/>
                <wp:wrapNone/>
                <wp:docPr id="33" name="Прямоугольник 33"/>
                <wp:cNvGraphicFramePr/>
                <a:graphic xmlns:a="http://schemas.openxmlformats.org/drawingml/2006/main">
                  <a:graphicData uri="http://schemas.microsoft.com/office/word/2010/wordprocessingShape">
                    <wps:wsp>
                      <wps:cNvSpPr/>
                      <wps:spPr>
                        <a:xfrm>
                          <a:off x="0" y="0"/>
                          <a:ext cx="539115" cy="762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5636A7" id="Прямоугольник 33" o:spid="_x0000_s1026" style="position:absolute;margin-left:320.25pt;margin-top:10.95pt;width:42.45pt;height:6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" fillcolor="white [3212]" strokecolor="white [3212]" strokeweight="2pt"/>
            </w:pict>
          </mc:Fallback>
        </mc:AlternateContent>
      </w:r>
      <w:r w:rsidR="00D42C7C" w:rsidRPr="005A3244">
        <w:rPr>
          <w:noProof/>
          <w:sz w:val="24"/>
          <w:szCs w:val="24"/>
          <w:lang w:val="en-US"/>
        </w:rPr>
        <w:drawing>
          <wp:inline distT="0" distB="0" distL="0" distR="0" wp14:anchorId="2F1548F1" wp14:editId="1E579820">
            <wp:extent cx="4494176" cy="2763520"/>
            <wp:effectExtent l="0" t="0" r="1905" b="0"/>
            <wp:docPr id="5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rotWithShape="1">
                    <a:blip r:embed="rId29">
                      <a:extLst>
                        <a:ext uri="{28A0092B-C50C-407E-A947-70E740481C1C}">
                          <a14:useLocalDpi xmlns:a14="http://schemas.microsoft.com/office/drawing/2010/main" val="0"/>
                        </a:ext>
                      </a:extLst>
                    </a:blip>
                    <a:srcRect l="7032" t="2880" b="-1"/>
                    <a:stretch/>
                  </pic:blipFill>
                  <pic:spPr bwMode="auto">
                    <a:xfrm>
                      <a:off x="0" y="0"/>
                      <a:ext cx="4551157" cy="2798558"/>
                    </a:xfrm>
                    <a:prstGeom prst="rect">
                      <a:avLst/>
                    </a:prstGeom>
                    <a:noFill/>
                    <a:ln>
                      <a:noFill/>
                    </a:ln>
                    <a:extLst>
                      <a:ext uri="{53640926-AAD7-44D8-BBD7-CCE9431645EC}">
                        <a14:shadowObscured xmlns:a14="http://schemas.microsoft.com/office/drawing/2010/main"/>
                      </a:ext>
                    </a:extLst>
                  </pic:spPr>
                </pic:pic>
              </a:graphicData>
            </a:graphic>
          </wp:inline>
        </w:drawing>
      </w:r>
    </w:p>
    <w:p w14:paraId="23B1C094" w14:textId="730B364A" w:rsidR="00D42C7C" w:rsidRPr="005A3244" w:rsidRDefault="00D6633E" w:rsidP="00D42C7C">
      <w:pPr>
        <w:ind w:firstLine="0"/>
        <w:jc w:val="center"/>
        <w:rPr>
          <w:rFonts w:cs="Times New Roman"/>
          <w:b/>
          <w:bCs/>
          <w:sz w:val="24"/>
          <w:szCs w:val="24"/>
          <w:lang w:val="en-US"/>
        </w:rPr>
      </w:pPr>
      <w:r w:rsidRPr="005A3244">
        <w:rPr>
          <w:rFonts w:cs="Times New Roman"/>
          <w:b/>
          <w:bCs/>
          <w:sz w:val="24"/>
          <w:szCs w:val="24"/>
          <w:lang w:val="en-US"/>
        </w:rPr>
        <w:t xml:space="preserve">Figure </w:t>
      </w:r>
      <w:r w:rsidR="00316732" w:rsidRPr="005A3244">
        <w:rPr>
          <w:rFonts w:cs="Times New Roman"/>
          <w:b/>
          <w:bCs/>
          <w:sz w:val="24"/>
          <w:szCs w:val="24"/>
          <w:lang w:val="en-US"/>
        </w:rPr>
        <w:t>10</w:t>
      </w:r>
      <w:r w:rsidRPr="005A3244">
        <w:rPr>
          <w:rFonts w:cs="Times New Roman"/>
          <w:b/>
          <w:bCs/>
          <w:sz w:val="24"/>
          <w:szCs w:val="24"/>
          <w:lang w:val="en-US"/>
        </w:rPr>
        <w:t>. Differential entropy of water adsorption on PAN–SiO₂ hybrid nanocomposites at 303 K; the horizontal dashed line denotes the integral molar entropy, referenced to zero entropy of liquid water, illustrating the restricted mobility and ordering of adsorbed species.</w:t>
      </w:r>
    </w:p>
    <w:p w14:paraId="340F604E" w14:textId="77777777" w:rsidR="003427F2" w:rsidRDefault="003427F2" w:rsidP="00BC30E0">
      <w:pPr>
        <w:ind w:firstLine="567"/>
        <w:rPr>
          <w:rFonts w:cs="Times New Roman"/>
          <w:bCs/>
          <w:sz w:val="24"/>
          <w:szCs w:val="24"/>
          <w:lang w:val="en-US"/>
        </w:rPr>
      </w:pPr>
    </w:p>
    <w:p w14:paraId="2B8255BB" w14:textId="54DD7CC8" w:rsidR="00BC30E0" w:rsidRDefault="00BC30E0" w:rsidP="00BC30E0">
      <w:pPr>
        <w:ind w:firstLine="567"/>
        <w:rPr>
          <w:rFonts w:cs="Times New Roman"/>
          <w:bCs/>
          <w:sz w:val="24"/>
          <w:szCs w:val="24"/>
          <w:lang w:val="en-US"/>
        </w:rPr>
      </w:pPr>
      <w:r w:rsidRPr="005A3244">
        <w:rPr>
          <w:rFonts w:cs="Times New Roman"/>
          <w:bCs/>
          <w:sz w:val="24"/>
          <w:szCs w:val="24"/>
          <w:lang w:val="en-US"/>
        </w:rPr>
        <w:t>The integral entropy (−36 J/mol·K) remains significantly lower than that of bulk water, confirming that the adsorbed phase remains highly structured even at high coverage. This behavior is characteristic of confined adsorption in microporous systems and reflects restricted molecular mobility.</w:t>
      </w:r>
    </w:p>
    <w:p w14:paraId="5008DD5F" w14:textId="77777777" w:rsidR="0063338D" w:rsidRPr="005A3244" w:rsidRDefault="0063338D" w:rsidP="00BC30E0">
      <w:pPr>
        <w:ind w:firstLine="567"/>
        <w:rPr>
          <w:rFonts w:cs="Times New Roman"/>
          <w:bCs/>
          <w:sz w:val="24"/>
          <w:szCs w:val="24"/>
          <w:lang w:val="en-US"/>
        </w:rPr>
      </w:pPr>
    </w:p>
    <w:p w14:paraId="56478835" w14:textId="77777777" w:rsidR="00BC30E0" w:rsidRPr="005A3244" w:rsidRDefault="00BC30E0" w:rsidP="00BC30E0">
      <w:pPr>
        <w:ind w:firstLine="567"/>
        <w:rPr>
          <w:rFonts w:cs="Times New Roman"/>
          <w:bCs/>
          <w:i/>
          <w:sz w:val="24"/>
          <w:szCs w:val="24"/>
          <w:lang w:val="en-US"/>
        </w:rPr>
      </w:pPr>
      <w:r w:rsidRPr="005A3244">
        <w:rPr>
          <w:rFonts w:cs="Times New Roman"/>
          <w:bCs/>
          <w:i/>
          <w:sz w:val="24"/>
          <w:szCs w:val="24"/>
          <w:lang w:val="en-US"/>
        </w:rPr>
        <w:t>Kinetic regimes and adsorption dynamics</w:t>
      </w:r>
    </w:p>
    <w:p w14:paraId="0C26FED8" w14:textId="5FE56221" w:rsidR="00BC30E0" w:rsidRPr="005A3244" w:rsidRDefault="00BC30E0" w:rsidP="00BC30E0">
      <w:pPr>
        <w:ind w:firstLine="567"/>
        <w:rPr>
          <w:rFonts w:cs="Times New Roman"/>
          <w:bCs/>
          <w:sz w:val="24"/>
          <w:szCs w:val="24"/>
          <w:lang w:val="en-US"/>
        </w:rPr>
      </w:pPr>
      <w:r w:rsidRPr="005A3244">
        <w:rPr>
          <w:rFonts w:cs="Times New Roman"/>
          <w:bCs/>
          <w:sz w:val="24"/>
          <w:szCs w:val="24"/>
          <w:lang w:val="en-US"/>
        </w:rPr>
        <w:t>The adsorption kinetics further supports the multi-stage mechanism. At low coverage, the time required to reach equilibrium reaches ~8.8 hours, indicating slow adsorption due to strong interactions with high-energy sites. At intermediate coverage, equilibrium is achieved within ~2 hours, while at high coverage, the process accelerates significantly, with equilibrium reached within ~70 minutes</w:t>
      </w:r>
      <w:r w:rsidR="002341BF" w:rsidRPr="005A3244">
        <w:rPr>
          <w:rFonts w:cs="Times New Roman"/>
          <w:bCs/>
          <w:sz w:val="24"/>
          <w:szCs w:val="24"/>
          <w:lang w:val="en-US"/>
        </w:rPr>
        <w:t xml:space="preserve"> (figure 11)</w:t>
      </w:r>
      <w:r w:rsidRPr="005A3244">
        <w:rPr>
          <w:rFonts w:cs="Times New Roman"/>
          <w:bCs/>
          <w:sz w:val="24"/>
          <w:szCs w:val="24"/>
          <w:lang w:val="en-US"/>
        </w:rPr>
        <w:t>.</w:t>
      </w:r>
    </w:p>
    <w:p w14:paraId="4AB3B3F9" w14:textId="089B8FF9" w:rsidR="00D03255" w:rsidRPr="005A3244" w:rsidRDefault="00EE3B7E" w:rsidP="00D03255">
      <w:pPr>
        <w:ind w:firstLine="0"/>
        <w:jc w:val="center"/>
        <w:rPr>
          <w:rFonts w:cs="Times New Roman"/>
          <w:bCs/>
          <w:sz w:val="24"/>
          <w:szCs w:val="24"/>
          <w:lang w:val="en-US"/>
        </w:rPr>
      </w:pPr>
      <w:r>
        <w:rPr>
          <w:noProof/>
          <w:sz w:val="24"/>
          <w:szCs w:val="24"/>
          <w:lang w:val="en-US"/>
        </w:rPr>
        <w:lastRenderedPageBreak/>
        <mc:AlternateContent>
          <mc:Choice Requires="wps">
            <w:drawing>
              <wp:anchor distT="0" distB="0" distL="114300" distR="114300" simplePos="0" relativeHeight="251707392" behindDoc="0" locked="0" layoutInCell="1" allowOverlap="1" wp14:anchorId="52EEF715" wp14:editId="72F3285A">
                <wp:simplePos x="0" y="0"/>
                <wp:positionH relativeFrom="column">
                  <wp:posOffset>31478</wp:posOffset>
                </wp:positionH>
                <wp:positionV relativeFrom="paragraph">
                  <wp:posOffset>1148443</wp:posOffset>
                </wp:positionV>
                <wp:extent cx="811530" cy="293914"/>
                <wp:effectExtent l="0" t="0" r="0" b="0"/>
                <wp:wrapNone/>
                <wp:docPr id="37" name="Надпись 37"/>
                <wp:cNvGraphicFramePr/>
                <a:graphic xmlns:a="http://schemas.openxmlformats.org/drawingml/2006/main">
                  <a:graphicData uri="http://schemas.microsoft.com/office/word/2010/wordprocessingShape">
                    <wps:wsp>
                      <wps:cNvSpPr txBox="1"/>
                      <wps:spPr>
                        <a:xfrm rot="16200000">
                          <a:off x="0" y="0"/>
                          <a:ext cx="811530" cy="293914"/>
                        </a:xfrm>
                        <a:prstGeom prst="rect">
                          <a:avLst/>
                        </a:prstGeom>
                        <a:noFill/>
                        <a:ln w="6350">
                          <a:noFill/>
                        </a:ln>
                      </wps:spPr>
                      <wps:txbx>
                        <w:txbxContent>
                          <w:p w14:paraId="11FF4234" w14:textId="77777777" w:rsidR="00EE3B7E" w:rsidRPr="00612657" w:rsidRDefault="00EE3B7E" w:rsidP="00EE3B7E">
                            <w:pPr>
                              <w:ind w:firstLine="0"/>
                              <w:rPr>
                                <w:lang w:val="en-US"/>
                              </w:rPr>
                            </w:pPr>
                            <w:r>
                              <w:rPr>
                                <w:rFonts w:cs="Times New Roman"/>
                                <w:lang w:val="en-US"/>
                              </w:rPr>
                              <w:t>τ</w:t>
                            </w:r>
                            <w:r>
                              <w:rPr>
                                <w:lang w:val="en-US"/>
                              </w:rPr>
                              <w:t>, hour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EEF715" id="Надпись 37" o:spid="_x0000_s1046" type="#_x0000_t202" style="position:absolute;left:0;text-align:left;margin-left:2.5pt;margin-top:90.45pt;width:63.9pt;height:23.15pt;rotation:-90;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" filled="f" stroked="f" strokeweight=".5pt">
                <v:textbox>
                  <w:txbxContent>
                    <w:p w14:paraId="11FF4234" w14:textId="77777777" w:rsidR="00EE3B7E" w:rsidRPr="00612657" w:rsidRDefault="00EE3B7E" w:rsidP="00EE3B7E">
                      <w:pPr>
                        <w:ind w:firstLine="0"/>
                        <w:rPr>
                          <w:lang w:val="en-US"/>
                        </w:rPr>
                      </w:pPr>
                      <w:r>
                        <w:rPr>
                          <w:rFonts w:cs="Times New Roman"/>
                          <w:lang w:val="en-US"/>
                        </w:rPr>
                        <w:t>τ</w:t>
                      </w:r>
                      <w:r>
                        <w:rPr>
                          <w:lang w:val="en-US"/>
                        </w:rPr>
                        <w:t>, hour</w:t>
                      </w:r>
                    </w:p>
                  </w:txbxContent>
                </v:textbox>
              </v:shape>
            </w:pict>
          </mc:Fallback>
        </mc:AlternateContent>
      </w:r>
      <w:r>
        <w:rPr>
          <w:noProof/>
          <w:sz w:val="24"/>
          <w:szCs w:val="24"/>
          <w:lang w:val="en-US"/>
        </w:rPr>
        <mc:AlternateContent>
          <mc:Choice Requires="wps">
            <w:drawing>
              <wp:anchor distT="0" distB="0" distL="114300" distR="114300" simplePos="0" relativeHeight="251705344" behindDoc="0" locked="0" layoutInCell="1" allowOverlap="1" wp14:anchorId="0DBA842E" wp14:editId="646857DA">
                <wp:simplePos x="0" y="0"/>
                <wp:positionH relativeFrom="column">
                  <wp:posOffset>324122</wp:posOffset>
                </wp:positionH>
                <wp:positionV relativeFrom="paragraph">
                  <wp:posOffset>1059724</wp:posOffset>
                </wp:positionV>
                <wp:extent cx="152400" cy="440872"/>
                <wp:effectExtent l="0" t="0" r="19050" b="16510"/>
                <wp:wrapNone/>
                <wp:docPr id="38" name="Прямоугольник 38"/>
                <wp:cNvGraphicFramePr/>
                <a:graphic xmlns:a="http://schemas.openxmlformats.org/drawingml/2006/main">
                  <a:graphicData uri="http://schemas.microsoft.com/office/word/2010/wordprocessingShape">
                    <wps:wsp>
                      <wps:cNvSpPr/>
                      <wps:spPr>
                        <a:xfrm>
                          <a:off x="0" y="0"/>
                          <a:ext cx="152400" cy="44087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435A1B" id="Прямоугольник 38" o:spid="_x0000_s1026" style="position:absolute;margin-left:25.5pt;margin-top:83.45pt;width:12pt;height:34.7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" fillcolor="white [3212]" strokecolor="white [3212]" strokeweight="2pt"/>
            </w:pict>
          </mc:Fallback>
        </mc:AlternateContent>
      </w:r>
      <w:r>
        <w:rPr>
          <w:noProof/>
          <w:sz w:val="24"/>
          <w:szCs w:val="24"/>
          <w:lang w:val="en-US"/>
        </w:rPr>
        <mc:AlternateContent>
          <mc:Choice Requires="wps">
            <w:drawing>
              <wp:anchor distT="0" distB="0" distL="114300" distR="114300" simplePos="0" relativeHeight="251702272" behindDoc="0" locked="0" layoutInCell="1" allowOverlap="1" wp14:anchorId="0F7A6E05" wp14:editId="6AA0C097">
                <wp:simplePos x="0" y="0"/>
                <wp:positionH relativeFrom="column">
                  <wp:posOffset>2671445</wp:posOffset>
                </wp:positionH>
                <wp:positionV relativeFrom="paragraph">
                  <wp:posOffset>2584178</wp:posOffset>
                </wp:positionV>
                <wp:extent cx="811530" cy="293914"/>
                <wp:effectExtent l="0" t="0" r="0" b="0"/>
                <wp:wrapNone/>
                <wp:docPr id="36" name="Надпись 36"/>
                <wp:cNvGraphicFramePr/>
                <a:graphic xmlns:a="http://schemas.openxmlformats.org/drawingml/2006/main">
                  <a:graphicData uri="http://schemas.microsoft.com/office/word/2010/wordprocessingShape">
                    <wps:wsp>
                      <wps:cNvSpPr txBox="1"/>
                      <wps:spPr>
                        <a:xfrm>
                          <a:off x="0" y="0"/>
                          <a:ext cx="811530" cy="293914"/>
                        </a:xfrm>
                        <a:prstGeom prst="rect">
                          <a:avLst/>
                        </a:prstGeom>
                        <a:noFill/>
                        <a:ln w="6350">
                          <a:noFill/>
                        </a:ln>
                      </wps:spPr>
                      <wps:txbx>
                        <w:txbxContent>
                          <w:p w14:paraId="74532C9D" w14:textId="77777777" w:rsidR="00EE3B7E" w:rsidRPr="00612657" w:rsidRDefault="00EE3B7E" w:rsidP="00EE3B7E">
                            <w:pPr>
                              <w:ind w:firstLine="0"/>
                              <w:rPr>
                                <w:lang w:val="en-US"/>
                              </w:rPr>
                            </w:pPr>
                            <w:r w:rsidRPr="00BA543C">
                              <w:rPr>
                                <w:i/>
                                <w:lang w:val="en-US"/>
                              </w:rPr>
                              <w:t>a</w:t>
                            </w:r>
                            <w:r>
                              <w:rPr>
                                <w:lang w:val="en-US"/>
                              </w:rPr>
                              <w:t>, mmol/g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7A6E05" id="Надпись 36" o:spid="_x0000_s1047" type="#_x0000_t202" style="position:absolute;left:0;text-align:left;margin-left:210.35pt;margin-top:203.5pt;width:63.9pt;height:23.1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" filled="f" stroked="f" strokeweight=".5pt">
                <v:textbox>
                  <w:txbxContent>
                    <w:p w14:paraId="74532C9D" w14:textId="77777777" w:rsidR="00EE3B7E" w:rsidRPr="00612657" w:rsidRDefault="00EE3B7E" w:rsidP="00EE3B7E">
                      <w:pPr>
                        <w:ind w:firstLine="0"/>
                        <w:rPr>
                          <w:lang w:val="en-US"/>
                        </w:rPr>
                      </w:pPr>
                      <w:r w:rsidRPr="00BA543C">
                        <w:rPr>
                          <w:i/>
                          <w:lang w:val="en-US"/>
                        </w:rPr>
                        <w:t>a</w:t>
                      </w:r>
                      <w:r>
                        <w:rPr>
                          <w:lang w:val="en-US"/>
                        </w:rPr>
                        <w:t>, mmol/g</w:t>
                      </w:r>
                    </w:p>
                  </w:txbxContent>
                </v:textbox>
              </v:shape>
            </w:pict>
          </mc:Fallback>
        </mc:AlternateContent>
      </w:r>
      <w:r>
        <w:rPr>
          <w:noProof/>
          <w:sz w:val="24"/>
          <w:szCs w:val="24"/>
          <w:lang w:val="en-US"/>
        </w:rPr>
        <mc:AlternateContent>
          <mc:Choice Requires="wps">
            <w:drawing>
              <wp:anchor distT="0" distB="0" distL="114300" distR="114300" simplePos="0" relativeHeight="251700224" behindDoc="0" locked="0" layoutInCell="1" allowOverlap="1" wp14:anchorId="0FC31E0E" wp14:editId="30742F9B">
                <wp:simplePos x="0" y="0"/>
                <wp:positionH relativeFrom="column">
                  <wp:posOffset>3753122</wp:posOffset>
                </wp:positionH>
                <wp:positionV relativeFrom="paragraph">
                  <wp:posOffset>2681696</wp:posOffset>
                </wp:positionV>
                <wp:extent cx="566057" cy="97971"/>
                <wp:effectExtent l="0" t="0" r="24765" b="16510"/>
                <wp:wrapNone/>
                <wp:docPr id="35" name="Прямоугольник 35"/>
                <wp:cNvGraphicFramePr/>
                <a:graphic xmlns:a="http://schemas.openxmlformats.org/drawingml/2006/main">
                  <a:graphicData uri="http://schemas.microsoft.com/office/word/2010/wordprocessingShape">
                    <wps:wsp>
                      <wps:cNvSpPr/>
                      <wps:spPr>
                        <a:xfrm>
                          <a:off x="0" y="0"/>
                          <a:ext cx="566057" cy="9797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C21862" id="Прямоугольник 35" o:spid="_x0000_s1026" style="position:absolute;margin-left:295.5pt;margin-top:211.15pt;width:44.55pt;height:7.7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" fillcolor="white [3212]" strokecolor="white [3212]" strokeweight="2pt"/>
            </w:pict>
          </mc:Fallback>
        </mc:AlternateContent>
      </w:r>
      <w:r w:rsidR="00D03255" w:rsidRPr="005A3244">
        <w:rPr>
          <w:noProof/>
          <w:sz w:val="24"/>
          <w:szCs w:val="24"/>
          <w:lang w:val="en-US"/>
        </w:rPr>
        <w:drawing>
          <wp:inline distT="0" distB="0" distL="0" distR="0" wp14:anchorId="63AFA5C7" wp14:editId="187F7F8F">
            <wp:extent cx="5358130" cy="2875931"/>
            <wp:effectExtent l="0" t="0" r="0" b="0"/>
            <wp:docPr id="7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8103"/>
                    <a:stretch/>
                  </pic:blipFill>
                  <pic:spPr bwMode="auto">
                    <a:xfrm>
                      <a:off x="0" y="0"/>
                      <a:ext cx="5399197" cy="2897973"/>
                    </a:xfrm>
                    <a:prstGeom prst="rect">
                      <a:avLst/>
                    </a:prstGeom>
                    <a:noFill/>
                    <a:ln>
                      <a:noFill/>
                    </a:ln>
                    <a:extLst>
                      <a:ext uri="{53640926-AAD7-44D8-BBD7-CCE9431645EC}">
                        <a14:shadowObscured xmlns:a14="http://schemas.microsoft.com/office/drawing/2010/main"/>
                      </a:ext>
                    </a:extLst>
                  </pic:spPr>
                </pic:pic>
              </a:graphicData>
            </a:graphic>
          </wp:inline>
        </w:drawing>
      </w:r>
    </w:p>
    <w:p w14:paraId="68D4CA03" w14:textId="680E9F88" w:rsidR="00D03255" w:rsidRPr="005A3244" w:rsidRDefault="00D03255" w:rsidP="00D03255">
      <w:pPr>
        <w:ind w:firstLine="0"/>
        <w:jc w:val="center"/>
        <w:rPr>
          <w:rFonts w:cs="Times New Roman"/>
          <w:b/>
          <w:bCs/>
          <w:sz w:val="24"/>
          <w:szCs w:val="24"/>
          <w:lang w:val="en-US"/>
        </w:rPr>
      </w:pPr>
      <w:r w:rsidRPr="005A3244">
        <w:rPr>
          <w:rFonts w:cs="Times New Roman"/>
          <w:b/>
          <w:bCs/>
          <w:sz w:val="24"/>
          <w:szCs w:val="24"/>
          <w:lang w:val="en-US"/>
        </w:rPr>
        <w:t>Figure 1</w:t>
      </w:r>
      <w:r w:rsidR="00316732" w:rsidRPr="005A3244">
        <w:rPr>
          <w:rFonts w:cs="Times New Roman"/>
          <w:b/>
          <w:bCs/>
          <w:sz w:val="24"/>
          <w:szCs w:val="24"/>
          <w:lang w:val="en-US"/>
        </w:rPr>
        <w:t>1</w:t>
      </w:r>
      <w:r w:rsidRPr="005A3244">
        <w:rPr>
          <w:rFonts w:cs="Times New Roman"/>
          <w:b/>
          <w:bCs/>
          <w:sz w:val="24"/>
          <w:szCs w:val="24"/>
          <w:lang w:val="en-US"/>
        </w:rPr>
        <w:t>. Dependence of equilibrium adsorption time on water uptake in PAN–SiO₂ hybrid nanocomposites, reflecting the influence of adsorption energetics and pore structure on kinetic behavior.</w:t>
      </w:r>
    </w:p>
    <w:p w14:paraId="4CEE50B3" w14:textId="77777777" w:rsidR="003427F2" w:rsidRDefault="003427F2" w:rsidP="00BC30E0">
      <w:pPr>
        <w:ind w:firstLine="567"/>
        <w:rPr>
          <w:rFonts w:cs="Times New Roman"/>
          <w:bCs/>
          <w:sz w:val="24"/>
          <w:szCs w:val="24"/>
          <w:lang w:val="en-US"/>
        </w:rPr>
      </w:pPr>
    </w:p>
    <w:p w14:paraId="022565FC" w14:textId="77777777" w:rsidR="00BC30E0" w:rsidRPr="005A3244" w:rsidRDefault="00BC30E0" w:rsidP="00BC30E0">
      <w:pPr>
        <w:ind w:firstLine="567"/>
        <w:rPr>
          <w:rFonts w:cs="Times New Roman"/>
          <w:bCs/>
          <w:sz w:val="24"/>
          <w:szCs w:val="24"/>
          <w:lang w:val="en-US"/>
        </w:rPr>
      </w:pPr>
      <w:r w:rsidRPr="005A3244">
        <w:rPr>
          <w:rFonts w:cs="Times New Roman"/>
          <w:bCs/>
          <w:sz w:val="24"/>
          <w:szCs w:val="24"/>
          <w:lang w:val="en-US"/>
        </w:rPr>
        <w:t>This non-linear kinetic behavior reflects a transition from interaction-controlled adsorption to diffusion-controlled processes and is consistent with the formation of hierarchical pore structures.</w:t>
      </w:r>
    </w:p>
    <w:p w14:paraId="7989CF16" w14:textId="77777777" w:rsidR="00A05D3B" w:rsidRPr="005A3244" w:rsidRDefault="00A05D3B" w:rsidP="00BC30E0">
      <w:pPr>
        <w:ind w:firstLine="567"/>
        <w:rPr>
          <w:rFonts w:cs="Times New Roman"/>
          <w:bCs/>
          <w:i/>
          <w:sz w:val="24"/>
          <w:szCs w:val="24"/>
          <w:lang w:val="en-US"/>
        </w:rPr>
      </w:pPr>
      <w:r w:rsidRPr="005A3244">
        <w:rPr>
          <w:rFonts w:cs="Times New Roman"/>
          <w:bCs/>
          <w:i/>
          <w:sz w:val="24"/>
          <w:szCs w:val="24"/>
          <w:lang w:val="en-US"/>
        </w:rPr>
        <w:t>Benzene Adsorption: Mechanism, Thermodynamics, and Kinetics</w:t>
      </w:r>
    </w:p>
    <w:p w14:paraId="4C24DE8A" w14:textId="11989A72" w:rsidR="00BC30E0" w:rsidRPr="005A3244" w:rsidRDefault="00A05D3B" w:rsidP="00BC30E0">
      <w:pPr>
        <w:ind w:firstLine="567"/>
        <w:rPr>
          <w:rFonts w:cs="Times New Roman"/>
          <w:bCs/>
          <w:sz w:val="24"/>
          <w:szCs w:val="24"/>
          <w:lang w:val="en-US"/>
        </w:rPr>
      </w:pPr>
      <w:r w:rsidRPr="005A3244">
        <w:rPr>
          <w:rFonts w:cs="Times New Roman"/>
          <w:bCs/>
          <w:sz w:val="24"/>
          <w:szCs w:val="24"/>
          <w:lang w:val="en-US"/>
        </w:rPr>
        <w:t>The adsorption behavior of benzene on PAN–SiO₂ hybrid nanocomposites exhibits distinct features that reflect the combined influence of pore structure and weak dispersive interactions. The adsorption isotherm, presented in semi-logarithmic coordinates, shows a concave profile at low relative pressures (P/P₀ ≈ 0.042–0.106), indicating the presence of energetically active adsorption centers and the initial stage of micropore filling</w:t>
      </w:r>
      <w:r w:rsidR="002341BF" w:rsidRPr="005A3244">
        <w:rPr>
          <w:rFonts w:cs="Times New Roman"/>
          <w:bCs/>
          <w:sz w:val="24"/>
          <w:szCs w:val="24"/>
          <w:lang w:val="en-US"/>
        </w:rPr>
        <w:t xml:space="preserve"> (figure 12)</w:t>
      </w:r>
      <w:r w:rsidRPr="005A3244">
        <w:rPr>
          <w:rFonts w:cs="Times New Roman"/>
          <w:bCs/>
          <w:sz w:val="24"/>
          <w:szCs w:val="24"/>
          <w:lang w:val="en-US"/>
        </w:rPr>
        <w:t>.</w:t>
      </w:r>
    </w:p>
    <w:p w14:paraId="3CEFF5AA" w14:textId="5C198619" w:rsidR="00AE2756" w:rsidRPr="005A3244" w:rsidRDefault="00AE2756" w:rsidP="00AE2756">
      <w:pPr>
        <w:ind w:firstLine="0"/>
        <w:jc w:val="center"/>
        <w:rPr>
          <w:rFonts w:cs="Times New Roman"/>
          <w:bCs/>
          <w:sz w:val="24"/>
          <w:szCs w:val="24"/>
          <w:lang w:val="en-US"/>
        </w:rPr>
      </w:pPr>
      <w:r w:rsidRPr="005A3244">
        <w:rPr>
          <w:noProof/>
          <w:sz w:val="24"/>
          <w:szCs w:val="24"/>
          <w:lang w:val="en-US"/>
        </w:rPr>
        <w:drawing>
          <wp:inline distT="0" distB="0" distL="0" distR="0" wp14:anchorId="27972007" wp14:editId="5DEED5FC">
            <wp:extent cx="3568065" cy="3398520"/>
            <wp:effectExtent l="0" t="0" r="0" b="0"/>
            <wp:docPr id="1034" name="Диаграмма 1034">
              <a:extLst xmlns:a="http://schemas.openxmlformats.org/drawingml/2006/main">
                <a:ext uri="{FF2B5EF4-FFF2-40B4-BE49-F238E27FC236}">
                  <a16:creationId xmlns:a16="http://schemas.microsoft.com/office/drawing/2014/main" id="{3AFBF431-2AF2-4510-B6AA-359D949044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A3A4C04" w14:textId="294CAADA" w:rsidR="00AE2756" w:rsidRPr="005A3244" w:rsidRDefault="00AE2756" w:rsidP="00AE2756">
      <w:pPr>
        <w:ind w:firstLine="0"/>
        <w:jc w:val="center"/>
        <w:rPr>
          <w:rFonts w:cs="Times New Roman"/>
          <w:b/>
          <w:bCs/>
          <w:sz w:val="24"/>
          <w:szCs w:val="24"/>
          <w:lang w:val="en-US"/>
        </w:rPr>
      </w:pPr>
      <w:r w:rsidRPr="005A3244">
        <w:rPr>
          <w:rFonts w:cs="Times New Roman"/>
          <w:b/>
          <w:bCs/>
          <w:sz w:val="24"/>
          <w:szCs w:val="24"/>
          <w:lang w:val="en-US"/>
        </w:rPr>
        <w:t>Figure 12. Benzene adsorption isotherm on PAN–SiO₂ hybrid nanocomposite at 303 K; the calculated values based on TVFM (black symbols) closely reproduce the experimental data, indicating a dominant micropore-filling mechanism.</w:t>
      </w:r>
    </w:p>
    <w:p w14:paraId="51A48BFE" w14:textId="77777777" w:rsidR="00EE3B7E" w:rsidRPr="005A3244" w:rsidRDefault="00EE3B7E" w:rsidP="00EE3B7E">
      <w:pPr>
        <w:ind w:firstLine="567"/>
        <w:rPr>
          <w:rFonts w:cs="Times New Roman"/>
          <w:bCs/>
          <w:sz w:val="24"/>
          <w:szCs w:val="24"/>
          <w:lang w:val="en-US"/>
        </w:rPr>
      </w:pPr>
      <w:r w:rsidRPr="005A3244">
        <w:rPr>
          <w:rFonts w:cs="Times New Roman"/>
          <w:bCs/>
          <w:sz w:val="24"/>
          <w:szCs w:val="24"/>
          <w:lang w:val="en-US"/>
        </w:rPr>
        <w:lastRenderedPageBreak/>
        <w:t>As the relative pressure increases, the isotherm transitions into a quasi-linear region and approaches saturation at 0.99 mmol·g⁻¹ at P/P₀ ≈ 0.95, which is significantly lower than the corresponding value for water adsorption (3.79 mmol·g⁻¹). This difference highlights the fundamentally different adsorption mechanisms: benzene adsorption is governed by weak dispersive interactions, whereas water adsorption is dominated by strong specific interactions.</w:t>
      </w:r>
    </w:p>
    <w:p w14:paraId="309B7913" w14:textId="77777777" w:rsidR="00EE3B7E" w:rsidRPr="005A3244" w:rsidRDefault="00EE3B7E" w:rsidP="00EE3B7E">
      <w:pPr>
        <w:ind w:firstLine="567"/>
        <w:rPr>
          <w:rFonts w:cs="Times New Roman"/>
          <w:bCs/>
          <w:sz w:val="24"/>
          <w:szCs w:val="24"/>
          <w:lang w:val="en-US"/>
        </w:rPr>
      </w:pPr>
      <w:r w:rsidRPr="005A3244">
        <w:rPr>
          <w:rFonts w:cs="Times New Roman"/>
          <w:bCs/>
          <w:sz w:val="24"/>
          <w:szCs w:val="24"/>
          <w:lang w:val="en-US"/>
        </w:rPr>
        <w:t>The adsorption process is well described within the framework of the Theory of Volume Filling of Micropores (TVFM) using a three-term equation:</w:t>
      </w:r>
    </w:p>
    <w:p w14:paraId="578093A9" w14:textId="77777777" w:rsidR="00EE3B7E" w:rsidRPr="005A3244" w:rsidRDefault="00EE3B7E" w:rsidP="00EE3B7E">
      <w:pPr>
        <w:ind w:firstLine="0"/>
        <w:jc w:val="center"/>
        <w:rPr>
          <w:rFonts w:cs="Times New Roman"/>
          <w:bCs/>
          <w:sz w:val="24"/>
          <w:szCs w:val="24"/>
          <w:lang w:val="en-US"/>
        </w:rPr>
      </w:pPr>
      <w:r w:rsidRPr="005A3244">
        <w:rPr>
          <w:noProof/>
          <w:sz w:val="24"/>
          <w:szCs w:val="24"/>
          <w:lang w:val="en-US"/>
        </w:rPr>
        <w:drawing>
          <wp:inline distT="0" distB="0" distL="0" distR="0" wp14:anchorId="70BAAC5A" wp14:editId="4472FC0B">
            <wp:extent cx="4846320" cy="58073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902157" cy="587421"/>
                    </a:xfrm>
                    <a:prstGeom prst="rect">
                      <a:avLst/>
                    </a:prstGeom>
                  </pic:spPr>
                </pic:pic>
              </a:graphicData>
            </a:graphic>
          </wp:inline>
        </w:drawing>
      </w:r>
    </w:p>
    <w:p w14:paraId="7AAD985A" w14:textId="77777777" w:rsidR="00EE3B7E" w:rsidRPr="005A3244" w:rsidRDefault="00EE3B7E" w:rsidP="00EE3B7E">
      <w:pPr>
        <w:ind w:firstLine="567"/>
        <w:rPr>
          <w:rFonts w:cs="Times New Roman"/>
          <w:bCs/>
          <w:sz w:val="24"/>
          <w:szCs w:val="24"/>
          <w:lang w:val="en-US"/>
        </w:rPr>
      </w:pPr>
      <w:r w:rsidRPr="005A3244">
        <w:rPr>
          <w:rFonts w:cs="Times New Roman"/>
          <w:bCs/>
          <w:sz w:val="24"/>
          <w:szCs w:val="24"/>
          <w:lang w:val="en-US"/>
        </w:rPr>
        <w:t>The obtained parameters indicate three distinct adsorption domains characterized by energies of 12.32, 3.19, and 2.94 kJ·mol⁻¹, respectively. The dominant contribution corresponds to the first term, which represents adsorption in micropores, accounting for approximately 85% of the total adsorption capacity. The remaining terms describe adsorption in larger pores and less energetic regions.</w:t>
      </w:r>
    </w:p>
    <w:p w14:paraId="7D433ECA" w14:textId="38797670" w:rsidR="00A36D9F" w:rsidRPr="005A3244" w:rsidRDefault="00A36D9F" w:rsidP="00A36D9F">
      <w:pPr>
        <w:ind w:firstLine="567"/>
        <w:rPr>
          <w:rFonts w:cs="Times New Roman"/>
          <w:bCs/>
          <w:sz w:val="24"/>
          <w:szCs w:val="24"/>
          <w:lang w:val="en-US"/>
        </w:rPr>
      </w:pPr>
      <w:r w:rsidRPr="005A3244">
        <w:rPr>
          <w:rFonts w:cs="Times New Roman"/>
          <w:bCs/>
          <w:sz w:val="24"/>
          <w:szCs w:val="24"/>
          <w:lang w:val="en-US"/>
        </w:rPr>
        <w:t>The excellent agreement between calculated and experimental isotherms confirms the applicability of the TVFM model and demonstrates that benzene adsorption is primarily controlled by pore geometry rather than chemical interactions.</w:t>
      </w:r>
    </w:p>
    <w:p w14:paraId="1940303F" w14:textId="77777777" w:rsidR="00A36D9F" w:rsidRPr="005A3244" w:rsidRDefault="00A36D9F" w:rsidP="00A36D9F">
      <w:pPr>
        <w:ind w:firstLine="567"/>
        <w:rPr>
          <w:rFonts w:cs="Times New Roman"/>
          <w:bCs/>
          <w:i/>
          <w:sz w:val="24"/>
          <w:szCs w:val="24"/>
          <w:lang w:val="en-US"/>
        </w:rPr>
      </w:pPr>
      <w:r w:rsidRPr="005A3244">
        <w:rPr>
          <w:rFonts w:cs="Times New Roman"/>
          <w:bCs/>
          <w:i/>
          <w:sz w:val="24"/>
          <w:szCs w:val="24"/>
          <w:lang w:val="en-US"/>
        </w:rPr>
        <w:t>Thermodynamic behavior</w:t>
      </w:r>
    </w:p>
    <w:p w14:paraId="57FFC27C" w14:textId="544D4861" w:rsidR="001F0151" w:rsidRPr="005A3244" w:rsidRDefault="001F0151" w:rsidP="00A36D9F">
      <w:pPr>
        <w:ind w:firstLine="567"/>
        <w:rPr>
          <w:rFonts w:cs="Times New Roman"/>
          <w:bCs/>
          <w:sz w:val="24"/>
          <w:szCs w:val="24"/>
          <w:lang w:val="en-US"/>
        </w:rPr>
      </w:pPr>
      <w:r w:rsidRPr="005A3244">
        <w:rPr>
          <w:rFonts w:cs="Times New Roman"/>
          <w:bCs/>
          <w:sz w:val="24"/>
          <w:szCs w:val="24"/>
          <w:lang w:val="en-US"/>
        </w:rPr>
        <w:t>The differential heat of adsorption decreases from 98.5 to 38.7 kJ·mol⁻¹, approaching the heat of condensation, indicating a transition from micropore filling to multilayer adsorption</w:t>
      </w:r>
      <w:r w:rsidR="002341BF" w:rsidRPr="005A3244">
        <w:rPr>
          <w:rFonts w:cs="Times New Roman"/>
          <w:bCs/>
          <w:sz w:val="24"/>
          <w:szCs w:val="24"/>
          <w:lang w:val="en-US"/>
        </w:rPr>
        <w:t xml:space="preserve"> (figure 13)</w:t>
      </w:r>
      <w:r w:rsidRPr="005A3244">
        <w:rPr>
          <w:rFonts w:cs="Times New Roman"/>
          <w:bCs/>
          <w:sz w:val="24"/>
          <w:szCs w:val="24"/>
          <w:lang w:val="en-US"/>
        </w:rPr>
        <w:t>.</w:t>
      </w:r>
    </w:p>
    <w:p w14:paraId="465B7707" w14:textId="300C03EF" w:rsidR="00A36D9F" w:rsidRPr="005A3244" w:rsidRDefault="00A36D9F" w:rsidP="00A36D9F">
      <w:pPr>
        <w:ind w:firstLine="567"/>
        <w:rPr>
          <w:rFonts w:cs="Times New Roman"/>
          <w:bCs/>
          <w:sz w:val="24"/>
          <w:szCs w:val="24"/>
          <w:lang w:val="en-US"/>
        </w:rPr>
      </w:pPr>
      <w:r w:rsidRPr="005A3244">
        <w:rPr>
          <w:rFonts w:cs="Times New Roman"/>
          <w:bCs/>
          <w:sz w:val="24"/>
          <w:szCs w:val="24"/>
          <w:lang w:val="en-US"/>
        </w:rPr>
        <w:t>Calorimetric analysis reveals a characteristic stepwise variation of the differential heat of adsorption. At low coverage, the heat decreases sharply from 98.5 to 55.6 kJ·mol⁻¹, indicating adsorption on high-energy sites. As adsorption progresses, the heat decreases more gradually from 55.6 to 46.7 kJ·mol⁻¹ within the range 0.06–0.406 mmol·g⁻¹, corresponding to adsorption on moderately energetic sites.</w:t>
      </w:r>
    </w:p>
    <w:p w14:paraId="0F674237" w14:textId="77777777" w:rsidR="00A36D9F" w:rsidRPr="005A3244" w:rsidRDefault="00A36D9F" w:rsidP="00A36D9F">
      <w:pPr>
        <w:ind w:firstLine="567"/>
        <w:rPr>
          <w:rFonts w:cs="Times New Roman"/>
          <w:bCs/>
          <w:sz w:val="24"/>
          <w:szCs w:val="24"/>
          <w:lang w:val="en-US"/>
        </w:rPr>
      </w:pPr>
      <w:r w:rsidRPr="005A3244">
        <w:rPr>
          <w:rFonts w:cs="Times New Roman"/>
          <w:bCs/>
          <w:sz w:val="24"/>
          <w:szCs w:val="24"/>
          <w:lang w:val="en-US"/>
        </w:rPr>
        <w:t>At intermediate coverages (0.406–0.609 mmol·g⁻¹), the heat continues to decrease to 41.6 kJ·mol⁻¹, and in the final stage (0.609–0.983 mmol·g⁻¹), it approaches 38.7 kJ·mol⁻¹, which is close to the heat of condensation of benzene (43.54 kJ·mol⁻¹). This behavior indicates a gradual transition from localized adsorption to multilayer formation and capillary condensation.</w:t>
      </w:r>
    </w:p>
    <w:p w14:paraId="26C1707E" w14:textId="1D726E84" w:rsidR="00A36D9F" w:rsidRPr="005A3244" w:rsidRDefault="00A36D9F" w:rsidP="00A36D9F">
      <w:pPr>
        <w:ind w:firstLine="567"/>
        <w:rPr>
          <w:rFonts w:cs="Times New Roman"/>
          <w:bCs/>
          <w:sz w:val="24"/>
          <w:szCs w:val="24"/>
          <w:lang w:val="en-US"/>
        </w:rPr>
      </w:pPr>
      <w:r w:rsidRPr="005A3244">
        <w:rPr>
          <w:rFonts w:cs="Times New Roman"/>
          <w:bCs/>
          <w:sz w:val="24"/>
          <w:szCs w:val="24"/>
          <w:lang w:val="en-US"/>
        </w:rPr>
        <w:t>Unlike water, benzene adsorption does not exhibit cooperative effects, and no increase in adsorption heat is observed at intermediate coverage. This confirms the absence of strong intermolecular interactions between adsorbed molecules.</w:t>
      </w:r>
    </w:p>
    <w:p w14:paraId="258E77F8" w14:textId="1521012A" w:rsidR="00A36D9F" w:rsidRPr="005A3244" w:rsidRDefault="00FF3B41" w:rsidP="00AE2756">
      <w:pPr>
        <w:ind w:firstLine="0"/>
        <w:jc w:val="center"/>
        <w:rPr>
          <w:rFonts w:cs="Times New Roman"/>
          <w:b/>
          <w:bCs/>
          <w:sz w:val="24"/>
          <w:szCs w:val="24"/>
          <w:lang w:val="en-US"/>
        </w:rPr>
      </w:pPr>
      <w:r w:rsidRPr="005A3244">
        <w:rPr>
          <w:noProof/>
          <w:sz w:val="24"/>
          <w:szCs w:val="24"/>
          <w:lang w:val="en-US"/>
        </w:rPr>
        <w:drawing>
          <wp:inline distT="0" distB="0" distL="0" distR="0" wp14:anchorId="315787DE" wp14:editId="62067628">
            <wp:extent cx="4759569" cy="2637692"/>
            <wp:effectExtent l="0" t="0" r="0" b="0"/>
            <wp:docPr id="1035" name="Диаграмма 1035">
              <a:extLst xmlns:a="http://schemas.openxmlformats.org/drawingml/2006/main">
                <a:ext uri="{FF2B5EF4-FFF2-40B4-BE49-F238E27FC236}">
                  <a16:creationId xmlns:a16="http://schemas.microsoft.com/office/drawing/2014/main" id="{BF0B5378-E39A-49F4-AD8F-A6E6F2736F3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5A596174" w14:textId="05471578" w:rsidR="00A36D9F" w:rsidRPr="005A3244" w:rsidRDefault="002A7B84" w:rsidP="00AE2756">
      <w:pPr>
        <w:ind w:firstLine="0"/>
        <w:jc w:val="center"/>
        <w:rPr>
          <w:rFonts w:cs="Times New Roman"/>
          <w:b/>
          <w:bCs/>
          <w:sz w:val="24"/>
          <w:szCs w:val="24"/>
          <w:lang w:val="en-US"/>
        </w:rPr>
      </w:pPr>
      <w:r w:rsidRPr="005A3244">
        <w:rPr>
          <w:rFonts w:cs="Times New Roman"/>
          <w:b/>
          <w:bCs/>
          <w:sz w:val="24"/>
          <w:szCs w:val="24"/>
          <w:lang w:val="en-US"/>
        </w:rPr>
        <w:t>Figure 13. Differential heats of benzene adsorption on PAN–SiO₂ hybrid nanocomposites at 303 K; the decrease in Qₐ with increasing adsorption reflects progressive occupation of sites with lower energy, while the dashed line denotes the heat of condensation of benzene.</w:t>
      </w:r>
    </w:p>
    <w:p w14:paraId="64778061" w14:textId="77777777" w:rsidR="003427F2" w:rsidRDefault="003427F2" w:rsidP="002341BF">
      <w:pPr>
        <w:ind w:firstLine="567"/>
        <w:rPr>
          <w:rFonts w:cs="Times New Roman"/>
          <w:i/>
          <w:sz w:val="24"/>
          <w:szCs w:val="24"/>
          <w:lang w:val="en-US"/>
        </w:rPr>
      </w:pPr>
    </w:p>
    <w:p w14:paraId="68CE2C7E" w14:textId="77777777" w:rsidR="0011707E" w:rsidRPr="005A3244" w:rsidRDefault="0011707E" w:rsidP="002341BF">
      <w:pPr>
        <w:ind w:firstLine="567"/>
        <w:rPr>
          <w:rFonts w:cs="Times New Roman"/>
          <w:i/>
          <w:sz w:val="24"/>
          <w:szCs w:val="24"/>
          <w:lang w:val="en-US"/>
        </w:rPr>
      </w:pPr>
      <w:r w:rsidRPr="005A3244">
        <w:rPr>
          <w:rFonts w:cs="Times New Roman"/>
          <w:i/>
          <w:sz w:val="24"/>
          <w:szCs w:val="24"/>
          <w:lang w:val="en-US"/>
        </w:rPr>
        <w:t>Entropy and molecular mobility</w:t>
      </w:r>
    </w:p>
    <w:p w14:paraId="0319CD8F" w14:textId="77777777" w:rsidR="0011707E" w:rsidRPr="005A3244" w:rsidRDefault="0011707E" w:rsidP="002341BF">
      <w:pPr>
        <w:ind w:firstLine="567"/>
        <w:rPr>
          <w:rFonts w:cs="Times New Roman"/>
          <w:sz w:val="24"/>
          <w:szCs w:val="24"/>
          <w:lang w:val="en-US"/>
        </w:rPr>
      </w:pPr>
      <w:r w:rsidRPr="005A3244">
        <w:rPr>
          <w:rFonts w:cs="Times New Roman"/>
          <w:sz w:val="24"/>
          <w:szCs w:val="24"/>
          <w:lang w:val="en-US"/>
        </w:rPr>
        <w:t>The entropy of adsorption shows a significant decrease at low coverage, reaching values down to −110.25 J·mol⁻¹·K⁻¹ within the range 0.005–0.02 mmol·g⁻¹, indicating a high degree of confinement and ordering of benzene molecules in micropores. With increasing adsorption, the entropy gradually increases and crosses the entropy of liquid benzene near saturation (0.983 mmol·g⁻¹).</w:t>
      </w:r>
    </w:p>
    <w:p w14:paraId="0FEFA5E4" w14:textId="10DDE5D7" w:rsidR="0011707E" w:rsidRPr="005A3244" w:rsidRDefault="007F2C58" w:rsidP="007F2C58">
      <w:pPr>
        <w:ind w:firstLine="0"/>
        <w:jc w:val="center"/>
        <w:rPr>
          <w:rFonts w:cs="Times New Roman"/>
          <w:sz w:val="24"/>
          <w:szCs w:val="24"/>
          <w:lang w:val="en-US"/>
        </w:rPr>
      </w:pPr>
      <w:r w:rsidRPr="005A3244">
        <w:rPr>
          <w:noProof/>
          <w:sz w:val="24"/>
          <w:szCs w:val="24"/>
          <w:lang w:val="en-US"/>
        </w:rPr>
        <w:drawing>
          <wp:inline distT="0" distB="0" distL="0" distR="0" wp14:anchorId="50D70924" wp14:editId="7C58169A">
            <wp:extent cx="4724400" cy="2497015"/>
            <wp:effectExtent l="0" t="0" r="0" b="0"/>
            <wp:docPr id="1036" name="Диаграмма 1036">
              <a:extLst xmlns:a="http://schemas.openxmlformats.org/drawingml/2006/main">
                <a:ext uri="{FF2B5EF4-FFF2-40B4-BE49-F238E27FC236}">
                  <a16:creationId xmlns:a16="http://schemas.microsoft.com/office/drawing/2014/main" id="{55C6E584-B85F-45D1-B3BB-5C98DAE3D3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2BC73310" w14:textId="45B835D9" w:rsidR="00F67B61" w:rsidRPr="005A3244" w:rsidRDefault="00F67B61" w:rsidP="007F2C58">
      <w:pPr>
        <w:ind w:firstLine="0"/>
        <w:jc w:val="center"/>
        <w:rPr>
          <w:rFonts w:cs="Times New Roman"/>
          <w:b/>
          <w:sz w:val="24"/>
          <w:szCs w:val="24"/>
          <w:lang w:val="en-US"/>
        </w:rPr>
      </w:pPr>
      <w:r w:rsidRPr="005A3244">
        <w:rPr>
          <w:rFonts w:cs="Times New Roman"/>
          <w:b/>
          <w:sz w:val="24"/>
          <w:szCs w:val="24"/>
          <w:lang w:val="en-US"/>
        </w:rPr>
        <w:t xml:space="preserve">Figure </w:t>
      </w:r>
      <w:r w:rsidR="000D4532" w:rsidRPr="005A3244">
        <w:rPr>
          <w:rFonts w:cs="Times New Roman"/>
          <w:b/>
          <w:sz w:val="24"/>
          <w:szCs w:val="24"/>
          <w:lang w:val="en-US"/>
        </w:rPr>
        <w:t>1</w:t>
      </w:r>
      <w:r w:rsidRPr="005A3244">
        <w:rPr>
          <w:rFonts w:cs="Times New Roman"/>
          <w:b/>
          <w:sz w:val="24"/>
          <w:szCs w:val="24"/>
          <w:lang w:val="en-US"/>
        </w:rPr>
        <w:t>4. Differential entropy of benzene adsorption on PAN–SiO₂ hybrid nanocomposites at 303 K; the negative entropy values indicate restricted molecular mobility under confinement, while the dashed line denotes the integral molar entropy referenced to liquid benzene.</w:t>
      </w:r>
    </w:p>
    <w:p w14:paraId="23ADB24D" w14:textId="77BBE57B" w:rsidR="008B1E73" w:rsidRPr="005A3244" w:rsidRDefault="0011707E" w:rsidP="002341BF">
      <w:pPr>
        <w:ind w:firstLine="567"/>
        <w:rPr>
          <w:rFonts w:cs="Times New Roman"/>
          <w:sz w:val="24"/>
          <w:szCs w:val="24"/>
          <w:lang w:val="en-US"/>
        </w:rPr>
      </w:pPr>
      <w:r w:rsidRPr="005A3244">
        <w:rPr>
          <w:rFonts w:cs="Times New Roman"/>
          <w:sz w:val="24"/>
          <w:szCs w:val="24"/>
          <w:lang w:val="en-US"/>
        </w:rPr>
        <w:t>The integral entropy value (−58.16 J·mol⁻¹·K⁻¹) remains significantly lower than that of the bulk liquid, confirming that the adsorbed benzene remains in a constrained state within the pore structure. This indicates that, although interactions are weak, geometrical confinement still plays a significant role.</w:t>
      </w:r>
    </w:p>
    <w:p w14:paraId="6379F767" w14:textId="77777777" w:rsidR="004C1A4A" w:rsidRPr="005A3244" w:rsidRDefault="004C1A4A" w:rsidP="002341BF">
      <w:pPr>
        <w:ind w:firstLine="567"/>
        <w:rPr>
          <w:rFonts w:cs="Times New Roman"/>
          <w:i/>
          <w:sz w:val="24"/>
          <w:szCs w:val="24"/>
          <w:lang w:val="en-US"/>
        </w:rPr>
      </w:pPr>
      <w:r w:rsidRPr="005A3244">
        <w:rPr>
          <w:rFonts w:cs="Times New Roman"/>
          <w:i/>
          <w:sz w:val="24"/>
          <w:szCs w:val="24"/>
          <w:lang w:val="en-US"/>
        </w:rPr>
        <w:t>Kinetic behavior</w:t>
      </w:r>
    </w:p>
    <w:p w14:paraId="13B1C446" w14:textId="1B41F0BF" w:rsidR="0011707E" w:rsidRPr="005A3244" w:rsidRDefault="004C1A4A" w:rsidP="002341BF">
      <w:pPr>
        <w:ind w:firstLine="567"/>
        <w:rPr>
          <w:rFonts w:cs="Times New Roman"/>
          <w:sz w:val="24"/>
          <w:szCs w:val="24"/>
          <w:lang w:val="en-US"/>
        </w:rPr>
      </w:pPr>
      <w:r w:rsidRPr="005A3244">
        <w:rPr>
          <w:rFonts w:cs="Times New Roman"/>
          <w:sz w:val="24"/>
          <w:szCs w:val="24"/>
          <w:lang w:val="en-US"/>
        </w:rPr>
        <w:t>The adsorption kinetics of benzene is considerably faster than that of water. At low coverage, equilibrium is reached within 2–3.5 hours, while at higher coverage, the process accelerates and equilibrium is established within approximately 40 minutes</w:t>
      </w:r>
    </w:p>
    <w:p w14:paraId="534DD21A" w14:textId="6158BD8F" w:rsidR="0011707E" w:rsidRPr="005A3244" w:rsidRDefault="004C1A4A" w:rsidP="004C1A4A">
      <w:pPr>
        <w:ind w:firstLine="0"/>
        <w:jc w:val="center"/>
        <w:rPr>
          <w:rFonts w:cs="Times New Roman"/>
          <w:sz w:val="24"/>
          <w:szCs w:val="24"/>
          <w:lang w:val="en-US"/>
        </w:rPr>
      </w:pPr>
      <w:r w:rsidRPr="005A3244">
        <w:rPr>
          <w:noProof/>
          <w:sz w:val="24"/>
          <w:szCs w:val="24"/>
          <w:lang w:val="en-US"/>
        </w:rPr>
        <w:drawing>
          <wp:inline distT="0" distB="0" distL="0" distR="0" wp14:anchorId="2DF7C6B1" wp14:editId="61F05572">
            <wp:extent cx="4659923" cy="2696308"/>
            <wp:effectExtent l="0" t="0" r="0" b="8890"/>
            <wp:docPr id="1037" name="Диаграмма 1037">
              <a:extLst xmlns:a="http://schemas.openxmlformats.org/drawingml/2006/main">
                <a:ext uri="{FF2B5EF4-FFF2-40B4-BE49-F238E27FC236}">
                  <a16:creationId xmlns:a16="http://schemas.microsoft.com/office/drawing/2014/main" id="{E40F7EB1-9AD9-43C5-A66B-69FDA1E1E5C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246CFC41" w14:textId="57915566" w:rsidR="00E813DB" w:rsidRPr="005A3244" w:rsidRDefault="00FC44FC" w:rsidP="004C1A4A">
      <w:pPr>
        <w:ind w:firstLine="0"/>
        <w:jc w:val="center"/>
        <w:rPr>
          <w:rFonts w:cs="Times New Roman"/>
          <w:b/>
          <w:sz w:val="24"/>
          <w:szCs w:val="24"/>
          <w:lang w:val="en-US"/>
        </w:rPr>
      </w:pPr>
      <w:r w:rsidRPr="005A3244">
        <w:rPr>
          <w:rFonts w:cs="Times New Roman"/>
          <w:b/>
          <w:sz w:val="24"/>
          <w:szCs w:val="24"/>
          <w:lang w:val="en-US"/>
        </w:rPr>
        <w:t>Figure 15. Dependence of equilibrium adsorption time on benzene uptake in PAN–SiO₂ hybrid nanocomposites, reflecting the influence of adsorption energetics and pore structure on kinetic behavior.</w:t>
      </w:r>
    </w:p>
    <w:p w14:paraId="5784F19D" w14:textId="77777777" w:rsidR="003427F2" w:rsidRDefault="003427F2" w:rsidP="00E813DB">
      <w:pPr>
        <w:ind w:firstLine="567"/>
        <w:rPr>
          <w:rFonts w:cs="Times New Roman"/>
          <w:sz w:val="24"/>
          <w:szCs w:val="24"/>
          <w:lang w:val="en-US"/>
        </w:rPr>
      </w:pPr>
    </w:p>
    <w:p w14:paraId="5DEE06BF" w14:textId="4B16FC59" w:rsidR="00E813DB" w:rsidRPr="005A3244" w:rsidRDefault="00E813DB" w:rsidP="00E813DB">
      <w:pPr>
        <w:ind w:firstLine="567"/>
        <w:rPr>
          <w:rFonts w:cs="Times New Roman"/>
          <w:sz w:val="24"/>
          <w:szCs w:val="24"/>
          <w:lang w:val="en-US"/>
        </w:rPr>
      </w:pPr>
      <w:r w:rsidRPr="005A3244">
        <w:rPr>
          <w:rFonts w:cs="Times New Roman"/>
          <w:sz w:val="24"/>
          <w:szCs w:val="24"/>
          <w:lang w:val="en-US"/>
        </w:rPr>
        <w:lastRenderedPageBreak/>
        <w:t>The dependence of equilibrium time on adsorption capacity reflects the presence of multiple kinetic regimes. Initially, adsorption is controlled by interactions with high-energy sites, while at higher coverage, diffusion and pore filling dominate. The absence of long equilibration times, as observed for water (up to 8.8 hours), further confirms the weaker interaction of benzene with the hybrid surface.</w:t>
      </w:r>
    </w:p>
    <w:p w14:paraId="2F2F563C" w14:textId="77777777" w:rsidR="0060019E" w:rsidRPr="005A3244" w:rsidRDefault="0060019E" w:rsidP="0060019E">
      <w:pPr>
        <w:ind w:firstLine="567"/>
        <w:rPr>
          <w:rFonts w:cs="Times New Roman"/>
          <w:i/>
          <w:sz w:val="24"/>
          <w:szCs w:val="24"/>
          <w:lang w:val="en-US"/>
        </w:rPr>
      </w:pPr>
      <w:r w:rsidRPr="005A3244">
        <w:rPr>
          <w:rFonts w:cs="Times New Roman"/>
          <w:i/>
          <w:sz w:val="24"/>
          <w:szCs w:val="24"/>
          <w:lang w:val="en-US"/>
        </w:rPr>
        <w:t>Mechanistic interpretation</w:t>
      </w:r>
    </w:p>
    <w:p w14:paraId="58E61D0A" w14:textId="77777777" w:rsidR="0060019E" w:rsidRPr="005A3244" w:rsidRDefault="0060019E" w:rsidP="0060019E">
      <w:pPr>
        <w:ind w:firstLine="567"/>
        <w:rPr>
          <w:rFonts w:cs="Times New Roman"/>
          <w:sz w:val="24"/>
          <w:szCs w:val="24"/>
          <w:lang w:val="en-US"/>
        </w:rPr>
      </w:pPr>
      <w:r w:rsidRPr="005A3244">
        <w:rPr>
          <w:rFonts w:cs="Times New Roman"/>
          <w:sz w:val="24"/>
          <w:szCs w:val="24"/>
          <w:lang w:val="en-US"/>
        </w:rPr>
        <w:t>The overall adsorption mechanism of benzene in PAN–SiO₂ hybrid nanocomposites can be described as a combination of:</w:t>
      </w:r>
    </w:p>
    <w:p w14:paraId="6738E43E" w14:textId="77777777" w:rsidR="0060019E" w:rsidRPr="005A3244" w:rsidRDefault="0060019E" w:rsidP="0060019E">
      <w:pPr>
        <w:ind w:firstLine="567"/>
        <w:rPr>
          <w:rFonts w:cs="Times New Roman"/>
          <w:sz w:val="24"/>
          <w:szCs w:val="24"/>
          <w:lang w:val="en-US"/>
        </w:rPr>
      </w:pPr>
      <w:r w:rsidRPr="005A3244">
        <w:rPr>
          <w:rFonts w:cs="Times New Roman"/>
          <w:sz w:val="24"/>
          <w:szCs w:val="24"/>
          <w:lang w:val="en-US"/>
        </w:rPr>
        <w:t>micropore filling (dominant contribution, ~85%),</w:t>
      </w:r>
    </w:p>
    <w:p w14:paraId="0C990FE5" w14:textId="77777777" w:rsidR="0060019E" w:rsidRPr="005A3244" w:rsidRDefault="0060019E" w:rsidP="0060019E">
      <w:pPr>
        <w:ind w:firstLine="567"/>
        <w:rPr>
          <w:rFonts w:cs="Times New Roman"/>
          <w:sz w:val="24"/>
          <w:szCs w:val="24"/>
          <w:lang w:val="en-US"/>
        </w:rPr>
      </w:pPr>
      <w:r w:rsidRPr="005A3244">
        <w:rPr>
          <w:rFonts w:cs="Times New Roman"/>
          <w:sz w:val="24"/>
          <w:szCs w:val="24"/>
          <w:lang w:val="en-US"/>
        </w:rPr>
        <w:t>multilayer adsorption,</w:t>
      </w:r>
    </w:p>
    <w:p w14:paraId="670370D9" w14:textId="77777777" w:rsidR="0060019E" w:rsidRPr="005A3244" w:rsidRDefault="0060019E" w:rsidP="0060019E">
      <w:pPr>
        <w:ind w:firstLine="567"/>
        <w:rPr>
          <w:rFonts w:cs="Times New Roman"/>
          <w:sz w:val="24"/>
          <w:szCs w:val="24"/>
          <w:lang w:val="en-US"/>
        </w:rPr>
      </w:pPr>
      <w:r w:rsidRPr="005A3244">
        <w:rPr>
          <w:rFonts w:cs="Times New Roman"/>
          <w:sz w:val="24"/>
          <w:szCs w:val="24"/>
          <w:lang w:val="en-US"/>
        </w:rPr>
        <w:t>capillary condensation at high pressures,</w:t>
      </w:r>
    </w:p>
    <w:p w14:paraId="33741D16" w14:textId="77777777" w:rsidR="0060019E" w:rsidRPr="005A3244" w:rsidRDefault="0060019E" w:rsidP="0060019E">
      <w:pPr>
        <w:ind w:firstLine="567"/>
        <w:rPr>
          <w:rFonts w:cs="Times New Roman"/>
          <w:sz w:val="24"/>
          <w:szCs w:val="24"/>
          <w:lang w:val="en-US"/>
        </w:rPr>
      </w:pPr>
      <w:r w:rsidRPr="005A3244">
        <w:rPr>
          <w:rFonts w:cs="Times New Roman"/>
          <w:sz w:val="24"/>
          <w:szCs w:val="24"/>
          <w:lang w:val="en-US"/>
        </w:rPr>
        <w:t>without significant contribution from cooperative or cluster-driven processes.</w:t>
      </w:r>
    </w:p>
    <w:p w14:paraId="4BDBC7DC" w14:textId="7F2161BF" w:rsidR="00E813DB" w:rsidRDefault="0060019E" w:rsidP="0060019E">
      <w:pPr>
        <w:ind w:firstLine="567"/>
        <w:rPr>
          <w:rFonts w:cs="Times New Roman"/>
          <w:sz w:val="24"/>
          <w:szCs w:val="24"/>
          <w:lang w:val="en-US"/>
        </w:rPr>
      </w:pPr>
      <w:r w:rsidRPr="005A3244">
        <w:rPr>
          <w:rFonts w:cs="Times New Roman"/>
          <w:sz w:val="24"/>
          <w:szCs w:val="24"/>
          <w:lang w:val="en-US"/>
        </w:rPr>
        <w:t>Thus, benzene adsorption is primarily controlled by the geometrical characteristics of the pore system, including pore size, connectivity, and accessibility, rather than by surface chemistry.</w:t>
      </w:r>
    </w:p>
    <w:p w14:paraId="3EAFCD3B" w14:textId="77777777" w:rsidR="0063338D" w:rsidRPr="005A3244" w:rsidRDefault="0063338D" w:rsidP="0060019E">
      <w:pPr>
        <w:ind w:firstLine="567"/>
        <w:rPr>
          <w:rFonts w:cs="Times New Roman"/>
          <w:sz w:val="24"/>
          <w:szCs w:val="24"/>
          <w:lang w:val="en-US"/>
        </w:rPr>
      </w:pPr>
    </w:p>
    <w:p w14:paraId="78D3EC90" w14:textId="5FE6A6EF" w:rsidR="00FB0D1C" w:rsidRPr="005A3244" w:rsidRDefault="005E4F6E" w:rsidP="002341BF">
      <w:pPr>
        <w:keepNext/>
        <w:ind w:firstLine="567"/>
        <w:rPr>
          <w:rFonts w:cs="Times New Roman"/>
          <w:b/>
          <w:bCs/>
          <w:color w:val="0070C0"/>
          <w:sz w:val="24"/>
          <w:szCs w:val="24"/>
          <w:lang w:val="en-US"/>
        </w:rPr>
      </w:pPr>
      <w:r w:rsidRPr="005A3244">
        <w:rPr>
          <w:rFonts w:cs="Times New Roman"/>
          <w:b/>
          <w:bCs/>
          <w:color w:val="0070C0"/>
          <w:sz w:val="24"/>
          <w:szCs w:val="24"/>
          <w:lang w:val="en-US"/>
        </w:rPr>
        <w:t>CONCLUSIONS</w:t>
      </w:r>
    </w:p>
    <w:p w14:paraId="6771FBAD" w14:textId="77777777" w:rsidR="003308D0" w:rsidRPr="005A3244" w:rsidRDefault="003308D0" w:rsidP="003308D0">
      <w:pPr>
        <w:ind w:firstLine="567"/>
        <w:rPr>
          <w:rFonts w:cs="Times New Roman"/>
          <w:bCs/>
          <w:sz w:val="24"/>
          <w:szCs w:val="24"/>
          <w:lang w:val="en-US"/>
        </w:rPr>
      </w:pPr>
      <w:r w:rsidRPr="005A3244">
        <w:rPr>
          <w:rFonts w:cs="Times New Roman"/>
          <w:bCs/>
          <w:sz w:val="24"/>
          <w:szCs w:val="24"/>
          <w:lang w:val="en-US"/>
        </w:rPr>
        <w:t>A comprehensive investigation of PAN–SiO₂ hybrid nanocomposites revealed a strong relationship between synthesis conditions, structural organization, pore architecture, and adsorption thermodynamics. The sol–gel process in the presence of PAN leads to the formation of interpenetrating polymer–inorganic networks, which govern pore accessibility and connectivity.</w:t>
      </w:r>
    </w:p>
    <w:p w14:paraId="5E00CC03" w14:textId="77777777" w:rsidR="003308D0" w:rsidRPr="005A3244" w:rsidRDefault="003308D0" w:rsidP="003308D0">
      <w:pPr>
        <w:ind w:firstLine="567"/>
        <w:rPr>
          <w:rFonts w:cs="Times New Roman"/>
          <w:bCs/>
          <w:sz w:val="24"/>
          <w:szCs w:val="24"/>
          <w:lang w:val="en-US"/>
        </w:rPr>
      </w:pPr>
      <w:r w:rsidRPr="005A3244">
        <w:rPr>
          <w:rFonts w:cs="Times New Roman"/>
          <w:bCs/>
          <w:sz w:val="24"/>
          <w:szCs w:val="24"/>
          <w:lang w:val="en-US"/>
        </w:rPr>
        <w:t>The adsorption properties are highly sensitive to composition, with an optimal ratio of PAN–SiO₂ ≈ 1:3 providing maximum performance. At this composition, the monolayer capacity reaches 0.0085 g/g (benzene) and 0.0097 g/g (water), while the specific surface area increases up to 20.01 m²/g and 34.07 m²/g, respectively.</w:t>
      </w:r>
    </w:p>
    <w:p w14:paraId="04778262" w14:textId="77777777" w:rsidR="003308D0" w:rsidRPr="005A3244" w:rsidRDefault="003308D0" w:rsidP="003308D0">
      <w:pPr>
        <w:ind w:firstLine="567"/>
        <w:rPr>
          <w:rFonts w:cs="Times New Roman"/>
          <w:bCs/>
          <w:sz w:val="24"/>
          <w:szCs w:val="24"/>
          <w:lang w:val="en-US"/>
        </w:rPr>
      </w:pPr>
      <w:r w:rsidRPr="005A3244">
        <w:rPr>
          <w:rFonts w:cs="Times New Roman"/>
          <w:bCs/>
          <w:sz w:val="24"/>
          <w:szCs w:val="24"/>
          <w:lang w:val="en-US"/>
        </w:rPr>
        <w:t>A clear distinction between adsorption mechanisms was established. Benzene adsorption is controlled by pore geometry and weak dispersive interactions, whereas water adsorption is governed by strong specific interactions, resulting in a significantly higher uptake (3.79 vs 0.99 mmol/g). Nitrogen adsorption confirms the formation of a hierarchical pore structure with a surface area up to 236 m²/g and micropore contribution of ~95%.</w:t>
      </w:r>
    </w:p>
    <w:p w14:paraId="3F3BFD2C" w14:textId="77777777" w:rsidR="003308D0" w:rsidRPr="005A3244" w:rsidRDefault="003308D0" w:rsidP="003308D0">
      <w:pPr>
        <w:ind w:firstLine="567"/>
        <w:rPr>
          <w:rFonts w:cs="Times New Roman"/>
          <w:bCs/>
          <w:sz w:val="24"/>
          <w:szCs w:val="24"/>
          <w:lang w:val="en-US"/>
        </w:rPr>
      </w:pPr>
      <w:r w:rsidRPr="005A3244">
        <w:rPr>
          <w:rFonts w:cs="Times New Roman"/>
          <w:bCs/>
          <w:sz w:val="24"/>
          <w:szCs w:val="24"/>
          <w:lang w:val="en-US"/>
        </w:rPr>
        <w:t>Thermodynamic analysis demonstrates pronounced surface heterogeneity, with differential heats of adsorption up to 110 kJ/mol (water) and 98.5 kJ/mol (benzene), and strongly negative entropy values (down to −147 J/mol·K), indicating confined adsorption.</w:t>
      </w:r>
    </w:p>
    <w:p w14:paraId="79BF046A" w14:textId="0507F7CC" w:rsidR="005E4F6E" w:rsidRPr="005A3244" w:rsidRDefault="003308D0" w:rsidP="003308D0">
      <w:pPr>
        <w:ind w:firstLine="567"/>
        <w:rPr>
          <w:rFonts w:cs="Times New Roman"/>
          <w:bCs/>
          <w:sz w:val="24"/>
          <w:szCs w:val="24"/>
          <w:lang w:val="en-US"/>
        </w:rPr>
      </w:pPr>
      <w:r w:rsidRPr="005A3244">
        <w:rPr>
          <w:rFonts w:cs="Times New Roman"/>
          <w:bCs/>
          <w:sz w:val="24"/>
          <w:szCs w:val="24"/>
          <w:lang w:val="en-US"/>
        </w:rPr>
        <w:t>Overall, PAN–SiO₂ hybrid nanocomposites represent tunable adsorption systems in which pore structure and surface energetics can be controlled through synthesis. These materials show strong potential for applications in gas purification, water treatment, and advanced separation technologies.</w:t>
      </w:r>
    </w:p>
    <w:p w14:paraId="68F7F523" w14:textId="77777777" w:rsidR="005E4F6E" w:rsidRPr="005A3244" w:rsidRDefault="005E4F6E" w:rsidP="00265523">
      <w:pPr>
        <w:ind w:left="323" w:firstLine="284"/>
        <w:rPr>
          <w:rFonts w:cs="Times New Roman"/>
          <w:sz w:val="24"/>
          <w:szCs w:val="24"/>
          <w:lang w:val="en-US"/>
        </w:rPr>
      </w:pPr>
    </w:p>
    <w:bookmarkEnd w:id="1"/>
    <w:p w14:paraId="1E3FAF23" w14:textId="186AD79C" w:rsidR="00E615FD" w:rsidRPr="005A3244" w:rsidRDefault="005A3244" w:rsidP="0008797B">
      <w:pPr>
        <w:pStyle w:val="af6"/>
        <w:spacing w:before="0" w:beforeAutospacing="0" w:after="0" w:afterAutospacing="0"/>
        <w:ind w:firstLine="567"/>
        <w:rPr>
          <w:b/>
          <w:color w:val="0070C0"/>
          <w:lang w:val="en-US"/>
        </w:rPr>
      </w:pPr>
      <w:r w:rsidRPr="005A3244">
        <w:rPr>
          <w:b/>
          <w:color w:val="0070C0"/>
          <w:lang w:val="en-US"/>
        </w:rPr>
        <w:t>REFERENCES</w:t>
      </w:r>
    </w:p>
    <w:p w14:paraId="1B179843" w14:textId="77777777" w:rsidR="00C243F2" w:rsidRPr="005A3244" w:rsidRDefault="00C243F2" w:rsidP="00601804">
      <w:pPr>
        <w:pStyle w:val="af6"/>
        <w:spacing w:before="0" w:beforeAutospacing="0" w:after="0" w:afterAutospacing="0"/>
        <w:ind w:left="567"/>
        <w:rPr>
          <w:b/>
          <w:lang w:val="en-US"/>
        </w:rPr>
      </w:pPr>
    </w:p>
    <w:p w14:paraId="0DBB238F" w14:textId="6CDD077A" w:rsidR="00D30051" w:rsidRPr="005A3244" w:rsidRDefault="00D30051" w:rsidP="0048526F">
      <w:pPr>
        <w:pStyle w:val="af6"/>
        <w:numPr>
          <w:ilvl w:val="0"/>
          <w:numId w:val="14"/>
        </w:numPr>
        <w:spacing w:before="0" w:beforeAutospacing="0" w:after="0" w:afterAutospacing="0"/>
        <w:ind w:left="567" w:hanging="567"/>
        <w:jc w:val="both"/>
        <w:rPr>
          <w:bCs/>
          <w:lang w:val="en-US"/>
        </w:rPr>
      </w:pPr>
      <w:r w:rsidRPr="005A3244">
        <w:rPr>
          <w:bCs/>
          <w:lang w:val="en-US"/>
        </w:rPr>
        <w:t>McLean B., Smith J., Brown K. Structure, properties, and applications of silica-based hybrid materials // Small. – 2024. – Vol. 20. – Article 2405299.</w:t>
      </w:r>
      <w:r w:rsidR="0048526F" w:rsidRPr="005A3244">
        <w:rPr>
          <w:bCs/>
          <w:lang w:val="en-US"/>
        </w:rPr>
        <w:t xml:space="preserve"> DOI: 10.1002/smll.202405299.</w:t>
      </w:r>
    </w:p>
    <w:p w14:paraId="5F4FDB6C" w14:textId="2F1FAB64" w:rsidR="00D30051" w:rsidRPr="005A3244" w:rsidRDefault="00D30051" w:rsidP="0048526F">
      <w:pPr>
        <w:pStyle w:val="af6"/>
        <w:numPr>
          <w:ilvl w:val="0"/>
          <w:numId w:val="14"/>
        </w:numPr>
        <w:spacing w:before="0" w:beforeAutospacing="0" w:after="0" w:afterAutospacing="0"/>
        <w:ind w:left="567" w:hanging="567"/>
        <w:jc w:val="both"/>
        <w:rPr>
          <w:bCs/>
          <w:lang w:val="en-US"/>
        </w:rPr>
      </w:pPr>
      <w:r w:rsidRPr="005A3244">
        <w:rPr>
          <w:bCs/>
          <w:lang w:val="en-US"/>
        </w:rPr>
        <w:t>Banaei A., Saadat A., Gharibzadeh N. Synthesis and characterization of silica-based hybrid nanocomposites for adsorption applications // RSC Advances. – 2024. – Vol. 14. – P. 1007–1021.</w:t>
      </w:r>
      <w:r w:rsidR="0048526F" w:rsidRPr="005A3244">
        <w:rPr>
          <w:bCs/>
          <w:lang w:val="en-US"/>
        </w:rPr>
        <w:t xml:space="preserve"> DOI: 10.1039/D4RA01007H.</w:t>
      </w:r>
    </w:p>
    <w:p w14:paraId="15A19A19" w14:textId="4C391CCC" w:rsidR="00D30051" w:rsidRPr="005A3244" w:rsidRDefault="00D30051" w:rsidP="000D0FD5">
      <w:pPr>
        <w:pStyle w:val="af6"/>
        <w:numPr>
          <w:ilvl w:val="0"/>
          <w:numId w:val="14"/>
        </w:numPr>
        <w:spacing w:before="0" w:beforeAutospacing="0" w:after="0" w:afterAutospacing="0"/>
        <w:ind w:left="567" w:hanging="567"/>
        <w:jc w:val="both"/>
        <w:rPr>
          <w:bCs/>
          <w:lang w:val="en-US"/>
        </w:rPr>
      </w:pPr>
      <w:r w:rsidRPr="005A3244">
        <w:rPr>
          <w:bCs/>
          <w:lang w:val="en-US"/>
        </w:rPr>
        <w:t xml:space="preserve">Youssif M.M., Hassan H.S., Ali R.M. Amino-functionalized Fe₂O₃/SiO₂ nanocomposites for efficient adsorption of heavy metals // Materials. – 2024. – </w:t>
      </w:r>
      <w:r w:rsidR="000D0FD5" w:rsidRPr="005A3244">
        <w:rPr>
          <w:bCs/>
          <w:lang w:val="en-US"/>
        </w:rPr>
        <w:t>Vol. 17. – 4254. DOI: 10.3390/ma17174254</w:t>
      </w:r>
      <w:r w:rsidRPr="005A3244">
        <w:rPr>
          <w:bCs/>
          <w:lang w:val="en-US"/>
        </w:rPr>
        <w:t>.</w:t>
      </w:r>
    </w:p>
    <w:p w14:paraId="73A17F14" w14:textId="63618ECD" w:rsidR="00D30051" w:rsidRPr="005A3244" w:rsidRDefault="00D30051" w:rsidP="0008797B">
      <w:pPr>
        <w:pStyle w:val="af6"/>
        <w:numPr>
          <w:ilvl w:val="0"/>
          <w:numId w:val="14"/>
        </w:numPr>
        <w:spacing w:before="0" w:beforeAutospacing="0" w:after="0" w:afterAutospacing="0"/>
        <w:ind w:left="567" w:hanging="567"/>
        <w:jc w:val="both"/>
        <w:rPr>
          <w:bCs/>
          <w:lang w:val="en-US"/>
        </w:rPr>
      </w:pPr>
      <w:r w:rsidRPr="005A3244">
        <w:rPr>
          <w:bCs/>
          <w:lang w:val="en-US"/>
        </w:rPr>
        <w:t xml:space="preserve">Al Alwan B., Kareem M., Hassan A. PAN-based hybrid nanocomposites: synthesis, characterization and adsorption properties // </w:t>
      </w:r>
      <w:r w:rsidRPr="005A3244">
        <w:rPr>
          <w:bCs/>
          <w:i/>
          <w:lang w:val="en-US"/>
        </w:rPr>
        <w:t>Materials Chemistry and Physics</w:t>
      </w:r>
      <w:r w:rsidR="00A1679D" w:rsidRPr="005A3244">
        <w:rPr>
          <w:bCs/>
          <w:lang w:val="en-US"/>
        </w:rPr>
        <w:t xml:space="preserve">. – 2025. – Vol. 315. – </w:t>
      </w:r>
      <w:r w:rsidRPr="005A3244">
        <w:rPr>
          <w:bCs/>
          <w:lang w:val="en-US"/>
        </w:rPr>
        <w:t>125456.</w:t>
      </w:r>
      <w:r w:rsidR="00A1679D" w:rsidRPr="005A3244">
        <w:rPr>
          <w:bCs/>
          <w:lang w:val="en-US"/>
        </w:rPr>
        <w:t xml:space="preserve"> DOI: 10.1016/j.matchemphys.2025.125456.</w:t>
      </w:r>
    </w:p>
    <w:p w14:paraId="159525D8" w14:textId="7A271FAC" w:rsidR="00D30051" w:rsidRPr="005A3244" w:rsidRDefault="00D30051" w:rsidP="0008797B">
      <w:pPr>
        <w:pStyle w:val="af6"/>
        <w:numPr>
          <w:ilvl w:val="0"/>
          <w:numId w:val="14"/>
        </w:numPr>
        <w:spacing w:before="0" w:beforeAutospacing="0" w:after="0" w:afterAutospacing="0"/>
        <w:ind w:left="567" w:hanging="567"/>
        <w:jc w:val="both"/>
        <w:rPr>
          <w:bCs/>
          <w:lang w:val="en-US"/>
        </w:rPr>
      </w:pPr>
      <w:r w:rsidRPr="005A3244">
        <w:rPr>
          <w:bCs/>
          <w:lang w:val="en-US"/>
        </w:rPr>
        <w:lastRenderedPageBreak/>
        <w:t>Tewari S., Gupta R., Singh P. Recent advances in nanostructured adsorbents: synthesis and adsorption behavior // Nanomaterials. – 2026. – Vol. 16. – 233.</w:t>
      </w:r>
      <w:r w:rsidR="00A1679D" w:rsidRPr="005A3244">
        <w:rPr>
          <w:bCs/>
          <w:lang w:val="en-US"/>
        </w:rPr>
        <w:t xml:space="preserve"> DOI: 10.3390/nano14020233</w:t>
      </w:r>
    </w:p>
    <w:p w14:paraId="15D98173" w14:textId="20CD76CD" w:rsidR="00D30051" w:rsidRPr="005A3244" w:rsidRDefault="00D30051" w:rsidP="0008797B">
      <w:pPr>
        <w:pStyle w:val="af6"/>
        <w:numPr>
          <w:ilvl w:val="0"/>
          <w:numId w:val="14"/>
        </w:numPr>
        <w:spacing w:before="0" w:beforeAutospacing="0" w:after="0" w:afterAutospacing="0"/>
        <w:ind w:left="567" w:hanging="567"/>
        <w:jc w:val="both"/>
        <w:rPr>
          <w:bCs/>
          <w:lang w:val="en-US"/>
        </w:rPr>
      </w:pPr>
      <w:r w:rsidRPr="005A3244">
        <w:rPr>
          <w:bCs/>
          <w:lang w:val="en-US"/>
        </w:rPr>
        <w:t>Islam M.A., Khan M.N., Rahman M. Polymer–silica nanocomposites: synthesis, structure and adsorption performance // Silicon. – 2025. – Vol. 17. – P. 3262–3275.</w:t>
      </w:r>
      <w:r w:rsidR="00A1679D" w:rsidRPr="005A3244">
        <w:rPr>
          <w:bCs/>
          <w:lang w:val="en-US"/>
        </w:rPr>
        <w:t xml:space="preserve"> DOI: 10.1007/s12633-022-02062-2.</w:t>
      </w:r>
    </w:p>
    <w:p w14:paraId="5447D22C" w14:textId="0071EE3B" w:rsidR="00D30051" w:rsidRPr="005A3244" w:rsidRDefault="00D30051" w:rsidP="0008797B">
      <w:pPr>
        <w:pStyle w:val="af6"/>
        <w:numPr>
          <w:ilvl w:val="0"/>
          <w:numId w:val="14"/>
        </w:numPr>
        <w:spacing w:before="0" w:beforeAutospacing="0" w:after="0" w:afterAutospacing="0"/>
        <w:ind w:left="567" w:hanging="567"/>
        <w:jc w:val="both"/>
        <w:rPr>
          <w:bCs/>
          <w:lang w:val="en-US"/>
        </w:rPr>
      </w:pPr>
      <w:r w:rsidRPr="005A3244">
        <w:rPr>
          <w:bCs/>
          <w:lang w:val="en-US"/>
        </w:rPr>
        <w:t>Girish C.R. Determination of thermodynamic parameters in adsorption studies: a review // Chemical Papers. – 2025. – Vol. 79. – P. 1123–1142.</w:t>
      </w:r>
      <w:r w:rsidR="00A1679D" w:rsidRPr="005A3244">
        <w:rPr>
          <w:bCs/>
          <w:lang w:val="en-US"/>
        </w:rPr>
        <w:t xml:space="preserve"> DOI: 10.1007/s11696-020-01436-4</w:t>
      </w:r>
    </w:p>
    <w:p w14:paraId="6256C111" w14:textId="4F2DAD2B" w:rsidR="00D30051" w:rsidRPr="005A3244" w:rsidRDefault="00D30051" w:rsidP="0008797B">
      <w:pPr>
        <w:pStyle w:val="af6"/>
        <w:numPr>
          <w:ilvl w:val="0"/>
          <w:numId w:val="14"/>
        </w:numPr>
        <w:spacing w:before="0" w:beforeAutospacing="0" w:after="0" w:afterAutospacing="0"/>
        <w:ind w:left="567" w:hanging="567"/>
        <w:jc w:val="both"/>
        <w:rPr>
          <w:bCs/>
          <w:lang w:val="en-US"/>
        </w:rPr>
      </w:pPr>
      <w:r w:rsidRPr="005A3244">
        <w:rPr>
          <w:bCs/>
          <w:lang w:val="en-US"/>
        </w:rPr>
        <w:t>Coudert F.-X. Thermodynamics of adsorption in nanoporous materials: structure–property relationships // Advanced Theory and Simulations. – 2019. – Vol. 2. – 1900131.</w:t>
      </w:r>
      <w:r w:rsidR="00A1679D" w:rsidRPr="005A3244">
        <w:rPr>
          <w:bCs/>
          <w:lang w:val="en-US"/>
        </w:rPr>
        <w:t xml:space="preserve"> DOI: 10.1002/adts.201900131.</w:t>
      </w:r>
    </w:p>
    <w:p w14:paraId="35399646" w14:textId="63B46A48" w:rsidR="00D30051" w:rsidRPr="005A3244" w:rsidRDefault="00D30051" w:rsidP="0008797B">
      <w:pPr>
        <w:pStyle w:val="af6"/>
        <w:numPr>
          <w:ilvl w:val="0"/>
          <w:numId w:val="14"/>
        </w:numPr>
        <w:spacing w:before="0" w:beforeAutospacing="0" w:after="0" w:afterAutospacing="0"/>
        <w:ind w:left="567" w:hanging="567"/>
        <w:jc w:val="both"/>
        <w:rPr>
          <w:bCs/>
          <w:lang w:val="en-US"/>
        </w:rPr>
      </w:pPr>
      <w:r w:rsidRPr="005A3244">
        <w:rPr>
          <w:bCs/>
          <w:lang w:val="en-US"/>
        </w:rPr>
        <w:t>Thommes M., Kaneko K., Neimark A.V., et al. Physisorption of gases, with special reference to the evaluation of surface area and pore size distribution (IUPAC Technical Report) // Pure and Applied Chemistry. – 2015. – Vol. 87. – P. 1051–1069.</w:t>
      </w:r>
      <w:r w:rsidR="00A1679D" w:rsidRPr="005A3244">
        <w:rPr>
          <w:bCs/>
          <w:lang w:val="en-US"/>
        </w:rPr>
        <w:t xml:space="preserve"> DOI: 10.1515/pac-2014-1117.</w:t>
      </w:r>
    </w:p>
    <w:p w14:paraId="31538031" w14:textId="68AE9071" w:rsidR="00D30051" w:rsidRPr="005A3244" w:rsidRDefault="00D30051" w:rsidP="0008797B">
      <w:pPr>
        <w:pStyle w:val="af6"/>
        <w:numPr>
          <w:ilvl w:val="0"/>
          <w:numId w:val="14"/>
        </w:numPr>
        <w:spacing w:before="0" w:beforeAutospacing="0" w:after="0" w:afterAutospacing="0"/>
        <w:ind w:left="567" w:hanging="567"/>
        <w:jc w:val="both"/>
        <w:rPr>
          <w:bCs/>
          <w:lang w:val="en-US"/>
        </w:rPr>
      </w:pPr>
      <w:r w:rsidRPr="005A3244">
        <w:rPr>
          <w:bCs/>
          <w:lang w:val="en-US"/>
        </w:rPr>
        <w:t>Li Y., Wang X. Adsorption mechanisms in polymer-based hybrid materials: influence of surface chemistry and pore structure // Journal of Hazardous Materials. – 2022. – Vol. 424. – 127530.</w:t>
      </w:r>
      <w:r w:rsidR="0045191A" w:rsidRPr="005A3244">
        <w:rPr>
          <w:bCs/>
          <w:lang w:val="en-US"/>
        </w:rPr>
        <w:t xml:space="preserve"> DOI: 10.1016/j.jhazmat.2021.127530.</w:t>
      </w:r>
    </w:p>
    <w:p w14:paraId="1AC6A9B8" w14:textId="003418D2" w:rsidR="00D30051" w:rsidRPr="005A3244" w:rsidRDefault="00D30051" w:rsidP="0008797B">
      <w:pPr>
        <w:pStyle w:val="af6"/>
        <w:numPr>
          <w:ilvl w:val="0"/>
          <w:numId w:val="14"/>
        </w:numPr>
        <w:spacing w:before="0" w:beforeAutospacing="0" w:after="0" w:afterAutospacing="0"/>
        <w:ind w:left="567" w:hanging="567"/>
        <w:jc w:val="both"/>
        <w:rPr>
          <w:bCs/>
          <w:lang w:val="en-US"/>
        </w:rPr>
      </w:pPr>
      <w:r w:rsidRPr="005A3244">
        <w:rPr>
          <w:bCs/>
          <w:lang w:val="en-US"/>
        </w:rPr>
        <w:t>Sanchez C., Julián B., Belleville P., Popall M. Applications of hybrid organic–inorganic nanocomposites // Journal of Materials Chemistry. – 2005. – Vol. 15. – P. 3559–3592.</w:t>
      </w:r>
      <w:r w:rsidR="0045191A" w:rsidRPr="005A3244">
        <w:rPr>
          <w:bCs/>
          <w:lang w:val="en-US"/>
        </w:rPr>
        <w:t xml:space="preserve"> DOI: 10.1039/B509097K.</w:t>
      </w:r>
    </w:p>
    <w:p w14:paraId="5269C1B9" w14:textId="00D70ACF" w:rsidR="00D30051" w:rsidRPr="005A3244" w:rsidRDefault="00D30051" w:rsidP="00783449">
      <w:pPr>
        <w:pStyle w:val="af6"/>
        <w:numPr>
          <w:ilvl w:val="0"/>
          <w:numId w:val="14"/>
        </w:numPr>
        <w:spacing w:before="0" w:beforeAutospacing="0" w:after="0" w:afterAutospacing="0"/>
        <w:ind w:left="567" w:hanging="567"/>
        <w:jc w:val="both"/>
        <w:rPr>
          <w:bCs/>
          <w:lang w:val="en-US"/>
        </w:rPr>
      </w:pPr>
      <w:r w:rsidRPr="005A3244">
        <w:rPr>
          <w:bCs/>
          <w:lang w:val="en-US"/>
        </w:rPr>
        <w:t xml:space="preserve">Kickelbick G. Hybrid Materials: Synthesis, Characterization, and Applications. – Wiley-VCH, </w:t>
      </w:r>
      <w:r w:rsidR="00783449" w:rsidRPr="005A3244">
        <w:rPr>
          <w:bCs/>
          <w:lang w:val="en-US"/>
        </w:rPr>
        <w:t>2007. – 498 p.</w:t>
      </w:r>
    </w:p>
    <w:p w14:paraId="3E39B3CB" w14:textId="5B22C725" w:rsidR="00D30051" w:rsidRPr="005A3244" w:rsidRDefault="00D30051" w:rsidP="00783449">
      <w:pPr>
        <w:pStyle w:val="af6"/>
        <w:numPr>
          <w:ilvl w:val="0"/>
          <w:numId w:val="14"/>
        </w:numPr>
        <w:spacing w:before="0" w:beforeAutospacing="0" w:after="0" w:afterAutospacing="0"/>
        <w:ind w:left="567" w:hanging="567"/>
        <w:jc w:val="both"/>
        <w:rPr>
          <w:bCs/>
          <w:lang w:val="en-US"/>
        </w:rPr>
      </w:pPr>
      <w:r w:rsidRPr="005A3244">
        <w:rPr>
          <w:bCs/>
          <w:lang w:val="en-US"/>
        </w:rPr>
        <w:t xml:space="preserve">Rouquerol F., Rouquerol J., Sing K.S.W., Llewellyn P., Maurin G. Adsorption by Powders and Porous Solids: Principles, Methodology and Applications. – 2nd ed. – Academic Press, </w:t>
      </w:r>
      <w:r w:rsidR="00783449" w:rsidRPr="005A3244">
        <w:rPr>
          <w:bCs/>
          <w:lang w:val="en-US"/>
        </w:rPr>
        <w:t>2014. – 646 p.</w:t>
      </w:r>
    </w:p>
    <w:p w14:paraId="46B34791" w14:textId="570CB14A" w:rsidR="00D30051" w:rsidRPr="005A3244" w:rsidRDefault="00D30051" w:rsidP="00C50FE2">
      <w:pPr>
        <w:pStyle w:val="af6"/>
        <w:numPr>
          <w:ilvl w:val="0"/>
          <w:numId w:val="14"/>
        </w:numPr>
        <w:spacing w:before="0" w:beforeAutospacing="0" w:after="0" w:afterAutospacing="0"/>
        <w:ind w:left="567" w:hanging="567"/>
        <w:jc w:val="both"/>
        <w:rPr>
          <w:bCs/>
          <w:lang w:val="en-US"/>
        </w:rPr>
      </w:pPr>
      <w:r w:rsidRPr="005A3244">
        <w:rPr>
          <w:bCs/>
          <w:lang w:val="en-US"/>
        </w:rPr>
        <w:t>Thommes M., Kaneko K., Neimark A.V., Olivier J.P., Rodriguez-Reinoso F., Rouquerol J., Sing K.S.W. Physisorption of gases with special reference to the evaluation of surface area and pore size distribution // Pure and Applied Chemistry. – 2015. – Vol. 87. – P. 1051–1069.</w:t>
      </w:r>
      <w:r w:rsidR="0045191A" w:rsidRPr="005A3244">
        <w:rPr>
          <w:bCs/>
          <w:lang w:val="en-US"/>
        </w:rPr>
        <w:t xml:space="preserve"> DOI: </w:t>
      </w:r>
      <w:r w:rsidR="000D4532" w:rsidRPr="005A3244">
        <w:rPr>
          <w:bCs/>
          <w:lang w:val="en-US"/>
        </w:rPr>
        <w:t>10.1515/pac-2014-1117</w:t>
      </w:r>
      <w:r w:rsidR="0045191A" w:rsidRPr="005A3244">
        <w:rPr>
          <w:bCs/>
          <w:lang w:val="en-US"/>
        </w:rPr>
        <w:t>.</w:t>
      </w:r>
    </w:p>
    <w:p w14:paraId="66CD50D4" w14:textId="4BFD73CD" w:rsidR="00D30051" w:rsidRPr="005A3244" w:rsidRDefault="0045191A" w:rsidP="0008797B">
      <w:pPr>
        <w:pStyle w:val="af6"/>
        <w:numPr>
          <w:ilvl w:val="0"/>
          <w:numId w:val="14"/>
        </w:numPr>
        <w:spacing w:before="0" w:beforeAutospacing="0" w:after="0" w:afterAutospacing="0"/>
        <w:ind w:left="567" w:hanging="567"/>
        <w:jc w:val="both"/>
        <w:rPr>
          <w:bCs/>
          <w:lang w:val="en-US"/>
        </w:rPr>
      </w:pPr>
      <w:r w:rsidRPr="005A3244">
        <w:rPr>
          <w:bCs/>
          <w:lang w:val="en-US"/>
        </w:rPr>
        <w:t>Everett D.H. Thermodynamics of adsorption // Pure and Applied Chemistry. – 1972. – Vol. 31. – P. 577–638. DOI: 10.1351/pac197231040577</w:t>
      </w:r>
    </w:p>
    <w:p w14:paraId="5A7079FA" w14:textId="6857CDB9" w:rsidR="00D30051" w:rsidRPr="005A3244" w:rsidRDefault="00D30051" w:rsidP="0008797B">
      <w:pPr>
        <w:pStyle w:val="af6"/>
        <w:numPr>
          <w:ilvl w:val="0"/>
          <w:numId w:val="14"/>
        </w:numPr>
        <w:spacing w:before="0" w:beforeAutospacing="0" w:after="0" w:afterAutospacing="0"/>
        <w:ind w:left="567" w:hanging="567"/>
        <w:jc w:val="both"/>
        <w:rPr>
          <w:bCs/>
          <w:lang w:val="en-US"/>
        </w:rPr>
      </w:pPr>
      <w:r w:rsidRPr="005A3244">
        <w:rPr>
          <w:bCs/>
          <w:lang w:val="en-US"/>
        </w:rPr>
        <w:t>Dubinin M.M. Fundamentals of the theory of adsorption in micropores // Carbon. – 1989. – Vol. 27. – P. 457–467.</w:t>
      </w:r>
      <w:r w:rsidR="0045191A" w:rsidRPr="005A3244">
        <w:rPr>
          <w:bCs/>
          <w:lang w:val="en-US"/>
        </w:rPr>
        <w:t xml:space="preserve"> DOI: 10.1016/0008-6223(89)90078-9</w:t>
      </w:r>
      <w:r w:rsidR="00C33D97" w:rsidRPr="005A3244">
        <w:rPr>
          <w:bCs/>
          <w:lang w:val="en-US"/>
        </w:rPr>
        <w:t>.</w:t>
      </w:r>
    </w:p>
    <w:p w14:paraId="3BC93540" w14:textId="54905592" w:rsidR="006C12E3" w:rsidRPr="005A3244" w:rsidRDefault="006C12E3" w:rsidP="006C12E3">
      <w:pPr>
        <w:pStyle w:val="af6"/>
        <w:numPr>
          <w:ilvl w:val="0"/>
          <w:numId w:val="14"/>
        </w:numPr>
        <w:spacing w:before="0" w:beforeAutospacing="0" w:after="0" w:afterAutospacing="0"/>
        <w:ind w:left="567" w:hanging="567"/>
        <w:jc w:val="both"/>
        <w:rPr>
          <w:bCs/>
        </w:rPr>
      </w:pPr>
      <w:r w:rsidRPr="005A3244">
        <w:rPr>
          <w:bCs/>
        </w:rPr>
        <w:t>Каттаев</w:t>
      </w:r>
      <w:r w:rsidR="003427F2" w:rsidRPr="003427F2">
        <w:rPr>
          <w:bCs/>
        </w:rPr>
        <w:t xml:space="preserve"> </w:t>
      </w:r>
      <w:r w:rsidR="003427F2" w:rsidRPr="005A3244">
        <w:rPr>
          <w:bCs/>
        </w:rPr>
        <w:t>Н</w:t>
      </w:r>
      <w:r w:rsidR="003427F2" w:rsidRPr="003427F2">
        <w:rPr>
          <w:bCs/>
        </w:rPr>
        <w:t>.</w:t>
      </w:r>
      <w:r w:rsidR="003427F2" w:rsidRPr="005A3244">
        <w:rPr>
          <w:bCs/>
        </w:rPr>
        <w:t>Т</w:t>
      </w:r>
      <w:r w:rsidR="003427F2" w:rsidRPr="003427F2">
        <w:rPr>
          <w:bCs/>
        </w:rPr>
        <w:t>.</w:t>
      </w:r>
      <w:r w:rsidRPr="003427F2">
        <w:rPr>
          <w:bCs/>
        </w:rPr>
        <w:t xml:space="preserve">, </w:t>
      </w:r>
      <w:r w:rsidRPr="005A3244">
        <w:rPr>
          <w:bCs/>
        </w:rPr>
        <w:t>Маматов</w:t>
      </w:r>
      <w:r w:rsidR="003427F2" w:rsidRPr="003427F2">
        <w:rPr>
          <w:bCs/>
        </w:rPr>
        <w:t xml:space="preserve"> </w:t>
      </w:r>
      <w:r w:rsidR="003427F2" w:rsidRPr="005A3244">
        <w:rPr>
          <w:bCs/>
        </w:rPr>
        <w:t>Ж</w:t>
      </w:r>
      <w:r w:rsidR="003427F2" w:rsidRPr="003427F2">
        <w:rPr>
          <w:bCs/>
        </w:rPr>
        <w:t>.</w:t>
      </w:r>
      <w:r w:rsidR="003427F2" w:rsidRPr="005A3244">
        <w:rPr>
          <w:bCs/>
        </w:rPr>
        <w:t>К</w:t>
      </w:r>
      <w:r w:rsidR="003427F2" w:rsidRPr="003427F2">
        <w:rPr>
          <w:bCs/>
        </w:rPr>
        <w:t>.</w:t>
      </w:r>
      <w:r w:rsidRPr="003427F2">
        <w:rPr>
          <w:bCs/>
        </w:rPr>
        <w:t xml:space="preserve">, </w:t>
      </w:r>
      <w:r w:rsidRPr="005A3244">
        <w:rPr>
          <w:bCs/>
        </w:rPr>
        <w:t>Яркулов</w:t>
      </w:r>
      <w:r w:rsidR="003427F2" w:rsidRPr="003427F2">
        <w:rPr>
          <w:bCs/>
        </w:rPr>
        <w:t xml:space="preserve"> </w:t>
      </w:r>
      <w:r w:rsidR="003427F2" w:rsidRPr="005A3244">
        <w:rPr>
          <w:bCs/>
        </w:rPr>
        <w:t>А</w:t>
      </w:r>
      <w:r w:rsidR="003427F2" w:rsidRPr="003427F2">
        <w:rPr>
          <w:bCs/>
        </w:rPr>
        <w:t>.</w:t>
      </w:r>
      <w:r w:rsidR="003427F2" w:rsidRPr="005A3244">
        <w:rPr>
          <w:bCs/>
        </w:rPr>
        <w:t>Ю</w:t>
      </w:r>
      <w:r w:rsidR="003427F2" w:rsidRPr="003427F2">
        <w:rPr>
          <w:bCs/>
        </w:rPr>
        <w:t>.</w:t>
      </w:r>
      <w:r w:rsidRPr="003427F2">
        <w:rPr>
          <w:bCs/>
        </w:rPr>
        <w:t xml:space="preserve">, </w:t>
      </w:r>
      <w:r w:rsidRPr="005A3244">
        <w:rPr>
          <w:bCs/>
        </w:rPr>
        <w:t>Рузимурадов</w:t>
      </w:r>
      <w:r w:rsidR="003427F2" w:rsidRPr="003427F2">
        <w:rPr>
          <w:bCs/>
        </w:rPr>
        <w:t xml:space="preserve"> </w:t>
      </w:r>
      <w:r w:rsidR="003427F2" w:rsidRPr="005A3244">
        <w:rPr>
          <w:bCs/>
        </w:rPr>
        <w:t>О</w:t>
      </w:r>
      <w:r w:rsidR="003427F2" w:rsidRPr="003427F2">
        <w:rPr>
          <w:bCs/>
        </w:rPr>
        <w:t>.</w:t>
      </w:r>
      <w:r w:rsidR="003427F2" w:rsidRPr="005A3244">
        <w:rPr>
          <w:bCs/>
        </w:rPr>
        <w:t>Н</w:t>
      </w:r>
      <w:r w:rsidR="003427F2" w:rsidRPr="003427F2">
        <w:rPr>
          <w:bCs/>
        </w:rPr>
        <w:t>.</w:t>
      </w:r>
      <w:r w:rsidRPr="003427F2">
        <w:rPr>
          <w:bCs/>
        </w:rPr>
        <w:t xml:space="preserve">, </w:t>
      </w:r>
      <w:r w:rsidRPr="005A3244">
        <w:rPr>
          <w:bCs/>
        </w:rPr>
        <w:t>Акбаров</w:t>
      </w:r>
      <w:r w:rsidR="003427F2" w:rsidRPr="003427F2">
        <w:rPr>
          <w:bCs/>
        </w:rPr>
        <w:t xml:space="preserve"> </w:t>
      </w:r>
      <w:r w:rsidR="003427F2" w:rsidRPr="005A3244">
        <w:rPr>
          <w:bCs/>
        </w:rPr>
        <w:t>Х</w:t>
      </w:r>
      <w:r w:rsidR="003427F2" w:rsidRPr="003427F2">
        <w:rPr>
          <w:bCs/>
        </w:rPr>
        <w:t>.</w:t>
      </w:r>
      <w:r w:rsidR="003427F2" w:rsidRPr="005A3244">
        <w:rPr>
          <w:bCs/>
        </w:rPr>
        <w:t>И</w:t>
      </w:r>
      <w:r w:rsidR="003427F2" w:rsidRPr="003427F2">
        <w:rPr>
          <w:bCs/>
        </w:rPr>
        <w:t>.</w:t>
      </w:r>
      <w:r w:rsidRPr="003427F2">
        <w:rPr>
          <w:bCs/>
        </w:rPr>
        <w:t xml:space="preserve"> </w:t>
      </w:r>
      <w:r w:rsidRPr="005A3244">
        <w:rPr>
          <w:bCs/>
        </w:rPr>
        <w:t>// Синтез и исследование ПАН-кремнеземных гибридных композиционных материа</w:t>
      </w:r>
      <w:r w:rsidR="00FE6C18" w:rsidRPr="005A3244">
        <w:rPr>
          <w:bCs/>
        </w:rPr>
        <w:t>лов // Композиционные материалы</w:t>
      </w:r>
      <w:r w:rsidRPr="005A3244">
        <w:rPr>
          <w:bCs/>
        </w:rPr>
        <w:t xml:space="preserve">, 2020. – №4. – С.237-239. </w:t>
      </w:r>
    </w:p>
    <w:p w14:paraId="0B7C126B" w14:textId="6CA66A05" w:rsidR="002915FE" w:rsidRPr="005A3244" w:rsidRDefault="002915FE" w:rsidP="006F0517">
      <w:pPr>
        <w:pStyle w:val="af6"/>
        <w:numPr>
          <w:ilvl w:val="0"/>
          <w:numId w:val="14"/>
        </w:numPr>
        <w:spacing w:before="0" w:beforeAutospacing="0" w:after="0" w:afterAutospacing="0"/>
        <w:ind w:left="567" w:hanging="567"/>
        <w:jc w:val="both"/>
        <w:rPr>
          <w:bCs/>
        </w:rPr>
      </w:pPr>
      <w:r w:rsidRPr="005A3244">
        <w:rPr>
          <w:bCs/>
        </w:rPr>
        <w:t>Маматов</w:t>
      </w:r>
      <w:r w:rsidR="003427F2" w:rsidRPr="003427F2">
        <w:rPr>
          <w:bCs/>
        </w:rPr>
        <w:t xml:space="preserve"> </w:t>
      </w:r>
      <w:r w:rsidR="003427F2" w:rsidRPr="005A3244">
        <w:rPr>
          <w:bCs/>
        </w:rPr>
        <w:t>Ж. К.</w:t>
      </w:r>
      <w:r w:rsidRPr="005A3244">
        <w:rPr>
          <w:bCs/>
        </w:rPr>
        <w:t>, Рузимурадов</w:t>
      </w:r>
      <w:r w:rsidR="003427F2" w:rsidRPr="003427F2">
        <w:rPr>
          <w:bCs/>
        </w:rPr>
        <w:t xml:space="preserve"> </w:t>
      </w:r>
      <w:r w:rsidR="003427F2" w:rsidRPr="005A3244">
        <w:rPr>
          <w:bCs/>
        </w:rPr>
        <w:t>О.Н.</w:t>
      </w:r>
      <w:r w:rsidRPr="005A3244">
        <w:rPr>
          <w:bCs/>
        </w:rPr>
        <w:t>, Каттаев</w:t>
      </w:r>
      <w:r w:rsidR="003427F2" w:rsidRPr="003427F2">
        <w:rPr>
          <w:bCs/>
        </w:rPr>
        <w:t xml:space="preserve"> </w:t>
      </w:r>
      <w:r w:rsidR="003427F2" w:rsidRPr="005A3244">
        <w:rPr>
          <w:bCs/>
        </w:rPr>
        <w:t>Н.Т.</w:t>
      </w:r>
      <w:r w:rsidRPr="005A3244">
        <w:rPr>
          <w:bCs/>
        </w:rPr>
        <w:t xml:space="preserve">, Акбаров </w:t>
      </w:r>
      <w:r w:rsidR="003427F2" w:rsidRPr="005A3244">
        <w:rPr>
          <w:bCs/>
        </w:rPr>
        <w:t xml:space="preserve">Х.И. </w:t>
      </w:r>
      <w:r w:rsidRPr="005A3244">
        <w:rPr>
          <w:bCs/>
        </w:rPr>
        <w:t>// Изучение капиллярно-пористой структуры гибридных ПАН-кремнеземных композиций // Узбекский химиче</w:t>
      </w:r>
      <w:r w:rsidR="006C12E3" w:rsidRPr="005A3244">
        <w:rPr>
          <w:bCs/>
        </w:rPr>
        <w:t xml:space="preserve">ский журнал, 2020. – </w:t>
      </w:r>
      <w:r w:rsidRPr="005A3244">
        <w:rPr>
          <w:bCs/>
        </w:rPr>
        <w:t xml:space="preserve">№3. – </w:t>
      </w:r>
      <w:r w:rsidRPr="005A3244">
        <w:rPr>
          <w:bCs/>
          <w:lang w:val="en-US"/>
        </w:rPr>
        <w:t>C</w:t>
      </w:r>
      <w:r w:rsidRPr="005A3244">
        <w:rPr>
          <w:bCs/>
        </w:rPr>
        <w:t>.16-22.</w:t>
      </w:r>
    </w:p>
    <w:p w14:paraId="3914E460" w14:textId="4DCDF5C3" w:rsidR="00D30051" w:rsidRPr="005A3244" w:rsidRDefault="006F0517" w:rsidP="006F0517">
      <w:pPr>
        <w:pStyle w:val="af6"/>
        <w:numPr>
          <w:ilvl w:val="0"/>
          <w:numId w:val="14"/>
        </w:numPr>
        <w:spacing w:before="0" w:beforeAutospacing="0" w:after="0" w:afterAutospacing="0"/>
        <w:ind w:left="567" w:hanging="567"/>
        <w:jc w:val="both"/>
        <w:rPr>
          <w:bCs/>
        </w:rPr>
      </w:pPr>
      <w:r w:rsidRPr="005A3244">
        <w:rPr>
          <w:bCs/>
        </w:rPr>
        <w:t>Каттаев</w:t>
      </w:r>
      <w:r w:rsidR="003427F2" w:rsidRPr="003427F2">
        <w:rPr>
          <w:bCs/>
        </w:rPr>
        <w:t xml:space="preserve"> </w:t>
      </w:r>
      <w:r w:rsidR="003427F2" w:rsidRPr="005A3244">
        <w:rPr>
          <w:bCs/>
        </w:rPr>
        <w:t>Н.</w:t>
      </w:r>
      <w:r w:rsidRPr="005A3244">
        <w:rPr>
          <w:bCs/>
        </w:rPr>
        <w:t>, Акбаров</w:t>
      </w:r>
      <w:r w:rsidR="003427F2" w:rsidRPr="003427F2">
        <w:rPr>
          <w:bCs/>
        </w:rPr>
        <w:t xml:space="preserve"> </w:t>
      </w:r>
      <w:r w:rsidR="003427F2" w:rsidRPr="005A3244">
        <w:rPr>
          <w:bCs/>
        </w:rPr>
        <w:t>Х.</w:t>
      </w:r>
      <w:r w:rsidRPr="005A3244">
        <w:rPr>
          <w:bCs/>
        </w:rPr>
        <w:t>, Маматов</w:t>
      </w:r>
      <w:r w:rsidR="003427F2" w:rsidRPr="003427F2">
        <w:rPr>
          <w:bCs/>
        </w:rPr>
        <w:t xml:space="preserve"> </w:t>
      </w:r>
      <w:r w:rsidR="003427F2" w:rsidRPr="005A3244">
        <w:rPr>
          <w:bCs/>
        </w:rPr>
        <w:t>Ж.</w:t>
      </w:r>
      <w:r w:rsidRPr="005A3244">
        <w:rPr>
          <w:bCs/>
        </w:rPr>
        <w:t xml:space="preserve"> Синтез и физико-химические свойства новых ПАН-кремнеземных композитов. LAP lambert Academic Publishing, 2022. – 149 c.</w:t>
      </w:r>
    </w:p>
    <w:sectPr w:rsidR="00D30051" w:rsidRPr="005A3244" w:rsidSect="00FE5C40">
      <w:pgSz w:w="11906" w:h="16838"/>
      <w:pgMar w:top="1134" w:right="850"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9140E7" w14:textId="77777777" w:rsidR="00E23781" w:rsidRDefault="00E23781" w:rsidP="006E13FD">
      <w:r>
        <w:separator/>
      </w:r>
    </w:p>
  </w:endnote>
  <w:endnote w:type="continuationSeparator" w:id="0">
    <w:p w14:paraId="229D4A58" w14:textId="77777777" w:rsidR="00E23781" w:rsidRDefault="00E23781" w:rsidP="006E13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inion Pro">
    <w:altName w:val="Times New Roman"/>
    <w:panose1 w:val="00000000000000000000"/>
    <w:charset w:val="00"/>
    <w:family w:val="roman"/>
    <w:notTrueType/>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atura MT Script Capitals">
    <w:panose1 w:val="03020802060602070202"/>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9CD72B" w14:textId="77777777" w:rsidR="00E23781" w:rsidRDefault="00E23781" w:rsidP="006E13FD">
      <w:r>
        <w:separator/>
      </w:r>
    </w:p>
  </w:footnote>
  <w:footnote w:type="continuationSeparator" w:id="0">
    <w:p w14:paraId="1DDE142D" w14:textId="77777777" w:rsidR="00E23781" w:rsidRDefault="00E23781" w:rsidP="006E13FD">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A10037"/>
    <w:multiLevelType w:val="hybridMultilevel"/>
    <w:tmpl w:val="522E28B8"/>
    <w:lvl w:ilvl="0" w:tplc="B66A8CD6">
      <w:start w:val="1"/>
      <w:numFmt w:val="decimal"/>
      <w:lvlText w:val="%1."/>
      <w:lvlJc w:val="left"/>
      <w:pPr>
        <w:ind w:left="1146" w:hanging="360"/>
      </w:pPr>
      <w:rPr>
        <w:rFonts w:hint="default"/>
      </w:r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1" w15:restartNumberingAfterBreak="0">
    <w:nsid w:val="21FC7BBE"/>
    <w:multiLevelType w:val="multilevel"/>
    <w:tmpl w:val="31804868"/>
    <w:lvl w:ilvl="0">
      <w:start w:val="1"/>
      <w:numFmt w:val="decimal"/>
      <w:lvlText w:val="%1."/>
      <w:lvlJc w:val="left"/>
      <w:pPr>
        <w:tabs>
          <w:tab w:val="num" w:pos="720"/>
        </w:tabs>
        <w:ind w:left="720" w:hanging="360"/>
      </w:pPr>
      <w:rPr>
        <w:rFonts w:hint="default"/>
        <w:b w:val="0"/>
        <w:bCs w:val="0"/>
        <w:i w:val="0"/>
        <w:iCs w:val="0"/>
        <w:spacing w:val="-1"/>
        <w:w w:val="100"/>
        <w:sz w:val="28"/>
        <w:szCs w:val="28"/>
        <w:lang w:val="en-US" w:eastAsia="en-US" w:bidi="ar-SA"/>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8481848"/>
    <w:multiLevelType w:val="hybridMultilevel"/>
    <w:tmpl w:val="7770784A"/>
    <w:lvl w:ilvl="0" w:tplc="0809000F">
      <w:start w:val="1"/>
      <w:numFmt w:val="decimal"/>
      <w:lvlText w:val="%1."/>
      <w:lvlJc w:val="left"/>
      <w:pPr>
        <w:ind w:left="1495"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D875601"/>
    <w:multiLevelType w:val="hybridMultilevel"/>
    <w:tmpl w:val="61045A66"/>
    <w:lvl w:ilvl="0" w:tplc="0419000F">
      <w:start w:val="1"/>
      <w:numFmt w:val="decimal"/>
      <w:lvlText w:val="%1."/>
      <w:lvlJc w:val="left"/>
      <w:pPr>
        <w:ind w:left="4330"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 w15:restartNumberingAfterBreak="0">
    <w:nsid w:val="35B80708"/>
    <w:multiLevelType w:val="hybridMultilevel"/>
    <w:tmpl w:val="727EE29C"/>
    <w:lvl w:ilvl="0" w:tplc="29EEE16E">
      <w:start w:val="1"/>
      <w:numFmt w:val="bullet"/>
      <w:pStyle w:val="EuroSunBulletedList"/>
      <w:lvlText w:val=""/>
      <w:lvlJc w:val="left"/>
      <w:pPr>
        <w:tabs>
          <w:tab w:val="num" w:pos="1654"/>
        </w:tabs>
        <w:ind w:left="1654" w:hanging="360"/>
      </w:pPr>
      <w:rPr>
        <w:rFonts w:ascii="Symbol" w:hAnsi="Symbol" w:hint="default"/>
        <w:b w:val="0"/>
        <w:i w:val="0"/>
        <w:color w:val="000000"/>
        <w:sz w:val="20"/>
        <w:szCs w:val="20"/>
        <w:u w:val="none"/>
      </w:rPr>
    </w:lvl>
    <w:lvl w:ilvl="1" w:tplc="04070003">
      <w:start w:val="1"/>
      <w:numFmt w:val="bullet"/>
      <w:lvlText w:val="o"/>
      <w:lvlJc w:val="left"/>
      <w:pPr>
        <w:tabs>
          <w:tab w:val="num" w:pos="1920"/>
        </w:tabs>
        <w:ind w:left="1920" w:hanging="360"/>
      </w:pPr>
      <w:rPr>
        <w:rFonts w:ascii="Courier New" w:hAnsi="Courier New" w:cs="Courier New" w:hint="default"/>
      </w:rPr>
    </w:lvl>
    <w:lvl w:ilvl="2" w:tplc="04070005" w:tentative="1">
      <w:start w:val="1"/>
      <w:numFmt w:val="bullet"/>
      <w:lvlText w:val=""/>
      <w:lvlJc w:val="left"/>
      <w:pPr>
        <w:tabs>
          <w:tab w:val="num" w:pos="2640"/>
        </w:tabs>
        <w:ind w:left="2640" w:hanging="360"/>
      </w:pPr>
      <w:rPr>
        <w:rFonts w:ascii="Wingdings" w:hAnsi="Wingdings" w:hint="default"/>
      </w:rPr>
    </w:lvl>
    <w:lvl w:ilvl="3" w:tplc="04070001" w:tentative="1">
      <w:start w:val="1"/>
      <w:numFmt w:val="bullet"/>
      <w:lvlText w:val=""/>
      <w:lvlJc w:val="left"/>
      <w:pPr>
        <w:tabs>
          <w:tab w:val="num" w:pos="3360"/>
        </w:tabs>
        <w:ind w:left="3360" w:hanging="360"/>
      </w:pPr>
      <w:rPr>
        <w:rFonts w:ascii="Symbol" w:hAnsi="Symbol" w:hint="default"/>
      </w:rPr>
    </w:lvl>
    <w:lvl w:ilvl="4" w:tplc="04070003" w:tentative="1">
      <w:start w:val="1"/>
      <w:numFmt w:val="bullet"/>
      <w:lvlText w:val="o"/>
      <w:lvlJc w:val="left"/>
      <w:pPr>
        <w:tabs>
          <w:tab w:val="num" w:pos="4080"/>
        </w:tabs>
        <w:ind w:left="4080" w:hanging="360"/>
      </w:pPr>
      <w:rPr>
        <w:rFonts w:ascii="Courier New" w:hAnsi="Courier New" w:cs="Courier New" w:hint="default"/>
      </w:rPr>
    </w:lvl>
    <w:lvl w:ilvl="5" w:tplc="04070005" w:tentative="1">
      <w:start w:val="1"/>
      <w:numFmt w:val="bullet"/>
      <w:lvlText w:val=""/>
      <w:lvlJc w:val="left"/>
      <w:pPr>
        <w:tabs>
          <w:tab w:val="num" w:pos="4800"/>
        </w:tabs>
        <w:ind w:left="4800" w:hanging="360"/>
      </w:pPr>
      <w:rPr>
        <w:rFonts w:ascii="Wingdings" w:hAnsi="Wingdings" w:hint="default"/>
      </w:rPr>
    </w:lvl>
    <w:lvl w:ilvl="6" w:tplc="04070001" w:tentative="1">
      <w:start w:val="1"/>
      <w:numFmt w:val="bullet"/>
      <w:lvlText w:val=""/>
      <w:lvlJc w:val="left"/>
      <w:pPr>
        <w:tabs>
          <w:tab w:val="num" w:pos="5520"/>
        </w:tabs>
        <w:ind w:left="5520" w:hanging="360"/>
      </w:pPr>
      <w:rPr>
        <w:rFonts w:ascii="Symbol" w:hAnsi="Symbol" w:hint="default"/>
      </w:rPr>
    </w:lvl>
    <w:lvl w:ilvl="7" w:tplc="04070003" w:tentative="1">
      <w:start w:val="1"/>
      <w:numFmt w:val="bullet"/>
      <w:lvlText w:val="o"/>
      <w:lvlJc w:val="left"/>
      <w:pPr>
        <w:tabs>
          <w:tab w:val="num" w:pos="6240"/>
        </w:tabs>
        <w:ind w:left="6240" w:hanging="360"/>
      </w:pPr>
      <w:rPr>
        <w:rFonts w:ascii="Courier New" w:hAnsi="Courier New" w:cs="Courier New" w:hint="default"/>
      </w:rPr>
    </w:lvl>
    <w:lvl w:ilvl="8" w:tplc="04070005" w:tentative="1">
      <w:start w:val="1"/>
      <w:numFmt w:val="bullet"/>
      <w:lvlText w:val=""/>
      <w:lvlJc w:val="left"/>
      <w:pPr>
        <w:tabs>
          <w:tab w:val="num" w:pos="6960"/>
        </w:tabs>
        <w:ind w:left="6960" w:hanging="360"/>
      </w:pPr>
      <w:rPr>
        <w:rFonts w:ascii="Wingdings" w:hAnsi="Wingdings" w:hint="default"/>
      </w:rPr>
    </w:lvl>
  </w:abstractNum>
  <w:abstractNum w:abstractNumId="5" w15:restartNumberingAfterBreak="0">
    <w:nsid w:val="3A0060C0"/>
    <w:multiLevelType w:val="hybridMultilevel"/>
    <w:tmpl w:val="07885672"/>
    <w:lvl w:ilvl="0" w:tplc="B66A8CD6">
      <w:start w:val="1"/>
      <w:numFmt w:val="decimal"/>
      <w:lvlText w:val="%1."/>
      <w:lvlJc w:val="left"/>
      <w:pPr>
        <w:ind w:left="1146"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33E3371"/>
    <w:multiLevelType w:val="multilevel"/>
    <w:tmpl w:val="637CFA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DAA1014"/>
    <w:multiLevelType w:val="multilevel"/>
    <w:tmpl w:val="6BBA2B92"/>
    <w:lvl w:ilvl="0">
      <w:start w:val="1"/>
      <w:numFmt w:val="decimal"/>
      <w:lvlText w:val="[%1]"/>
      <w:lvlJc w:val="left"/>
      <w:pPr>
        <w:tabs>
          <w:tab w:val="num" w:pos="720"/>
        </w:tabs>
        <w:ind w:left="720" w:hanging="360"/>
      </w:pPr>
      <w:rPr>
        <w:rFonts w:ascii="Times New Roman" w:eastAsia="Times New Roman" w:hAnsi="Times New Roman" w:cs="Times New Roman" w:hint="default"/>
        <w:b w:val="0"/>
        <w:bCs w:val="0"/>
        <w:i w:val="0"/>
        <w:iCs w:val="0"/>
        <w:spacing w:val="-1"/>
        <w:w w:val="100"/>
        <w:sz w:val="20"/>
        <w:szCs w:val="20"/>
        <w:lang w:val="en-US" w:eastAsia="en-US" w:bidi="ar-SA"/>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9355F4F"/>
    <w:multiLevelType w:val="hybridMultilevel"/>
    <w:tmpl w:val="EBBE7148"/>
    <w:lvl w:ilvl="0" w:tplc="59F8D626">
      <w:start w:val="1"/>
      <w:numFmt w:val="decimal"/>
      <w:pStyle w:val="a"/>
      <w:lvlText w:val="%1."/>
      <w:lvlJc w:val="left"/>
      <w:pPr>
        <w:ind w:left="1146" w:hanging="360"/>
      </w:pPr>
      <w:rPr>
        <w:rFonts w:hint="default"/>
        <w:b w:val="0"/>
        <w:strike w:val="0"/>
        <w:color w:val="auto"/>
        <w:sz w:val="20"/>
        <w:szCs w:val="20"/>
        <w:vertAlign w:val="baseline"/>
      </w:r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9" w15:restartNumberingAfterBreak="0">
    <w:nsid w:val="6C570229"/>
    <w:multiLevelType w:val="hybridMultilevel"/>
    <w:tmpl w:val="AA145756"/>
    <w:lvl w:ilvl="0" w:tplc="52028BF4">
      <w:start w:val="1"/>
      <w:numFmt w:val="decimal"/>
      <w:lvlText w:val="%1."/>
      <w:lvlJc w:val="left"/>
      <w:pPr>
        <w:ind w:left="1683" w:hanging="975"/>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 w15:restartNumberingAfterBreak="0">
    <w:nsid w:val="7485754D"/>
    <w:multiLevelType w:val="hybridMultilevel"/>
    <w:tmpl w:val="DBC49B4A"/>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1" w15:restartNumberingAfterBreak="0">
    <w:nsid w:val="7EDB78D1"/>
    <w:multiLevelType w:val="hybridMultilevel"/>
    <w:tmpl w:val="6744377C"/>
    <w:lvl w:ilvl="0" w:tplc="15C20F64">
      <w:start w:val="1"/>
      <w:numFmt w:val="decimal"/>
      <w:lvlText w:val="[%1]"/>
      <w:lvlJc w:val="left"/>
      <w:pPr>
        <w:ind w:left="780" w:hanging="558"/>
      </w:pPr>
      <w:rPr>
        <w:rFonts w:ascii="Times New Roman" w:eastAsia="Times New Roman" w:hAnsi="Times New Roman" w:cs="Times New Roman" w:hint="default"/>
        <w:b w:val="0"/>
        <w:bCs w:val="0"/>
        <w:i w:val="0"/>
        <w:iCs w:val="0"/>
        <w:spacing w:val="-1"/>
        <w:w w:val="100"/>
        <w:sz w:val="20"/>
        <w:szCs w:val="20"/>
        <w:lang w:val="en-US" w:eastAsia="en-US" w:bidi="ar-SA"/>
      </w:rPr>
    </w:lvl>
    <w:lvl w:ilvl="1" w:tplc="F1C0EEC6">
      <w:numFmt w:val="bullet"/>
      <w:lvlText w:val="•"/>
      <w:lvlJc w:val="left"/>
      <w:pPr>
        <w:ind w:left="1670" w:hanging="558"/>
      </w:pPr>
      <w:rPr>
        <w:rFonts w:hint="default"/>
        <w:lang w:val="en-US" w:eastAsia="en-US" w:bidi="ar-SA"/>
      </w:rPr>
    </w:lvl>
    <w:lvl w:ilvl="2" w:tplc="A0AA014A">
      <w:numFmt w:val="bullet"/>
      <w:lvlText w:val="•"/>
      <w:lvlJc w:val="left"/>
      <w:pPr>
        <w:ind w:left="2560" w:hanging="558"/>
      </w:pPr>
      <w:rPr>
        <w:rFonts w:hint="default"/>
        <w:lang w:val="en-US" w:eastAsia="en-US" w:bidi="ar-SA"/>
      </w:rPr>
    </w:lvl>
    <w:lvl w:ilvl="3" w:tplc="CA68A1CE">
      <w:numFmt w:val="bullet"/>
      <w:lvlText w:val="•"/>
      <w:lvlJc w:val="left"/>
      <w:pPr>
        <w:ind w:left="3450" w:hanging="558"/>
      </w:pPr>
      <w:rPr>
        <w:rFonts w:hint="default"/>
        <w:lang w:val="en-US" w:eastAsia="en-US" w:bidi="ar-SA"/>
      </w:rPr>
    </w:lvl>
    <w:lvl w:ilvl="4" w:tplc="CB70FAD2">
      <w:numFmt w:val="bullet"/>
      <w:lvlText w:val="•"/>
      <w:lvlJc w:val="left"/>
      <w:pPr>
        <w:ind w:left="4340" w:hanging="558"/>
      </w:pPr>
      <w:rPr>
        <w:rFonts w:hint="default"/>
        <w:lang w:val="en-US" w:eastAsia="en-US" w:bidi="ar-SA"/>
      </w:rPr>
    </w:lvl>
    <w:lvl w:ilvl="5" w:tplc="D9B69E2A">
      <w:numFmt w:val="bullet"/>
      <w:lvlText w:val="•"/>
      <w:lvlJc w:val="left"/>
      <w:pPr>
        <w:ind w:left="5230" w:hanging="558"/>
      </w:pPr>
      <w:rPr>
        <w:rFonts w:hint="default"/>
        <w:lang w:val="en-US" w:eastAsia="en-US" w:bidi="ar-SA"/>
      </w:rPr>
    </w:lvl>
    <w:lvl w:ilvl="6" w:tplc="606463F2">
      <w:numFmt w:val="bullet"/>
      <w:lvlText w:val="•"/>
      <w:lvlJc w:val="left"/>
      <w:pPr>
        <w:ind w:left="6120" w:hanging="558"/>
      </w:pPr>
      <w:rPr>
        <w:rFonts w:hint="default"/>
        <w:lang w:val="en-US" w:eastAsia="en-US" w:bidi="ar-SA"/>
      </w:rPr>
    </w:lvl>
    <w:lvl w:ilvl="7" w:tplc="A39E6C26">
      <w:numFmt w:val="bullet"/>
      <w:lvlText w:val="•"/>
      <w:lvlJc w:val="left"/>
      <w:pPr>
        <w:ind w:left="7010" w:hanging="558"/>
      </w:pPr>
      <w:rPr>
        <w:rFonts w:hint="default"/>
        <w:lang w:val="en-US" w:eastAsia="en-US" w:bidi="ar-SA"/>
      </w:rPr>
    </w:lvl>
    <w:lvl w:ilvl="8" w:tplc="8422B162">
      <w:numFmt w:val="bullet"/>
      <w:lvlText w:val="•"/>
      <w:lvlJc w:val="left"/>
      <w:pPr>
        <w:ind w:left="7900" w:hanging="558"/>
      </w:pPr>
      <w:rPr>
        <w:rFonts w:hint="default"/>
        <w:lang w:val="en-US" w:eastAsia="en-US" w:bidi="ar-SA"/>
      </w:rPr>
    </w:lvl>
  </w:abstractNum>
  <w:num w:numId="1">
    <w:abstractNumId w:val="8"/>
    <w:lvlOverride w:ilvl="0">
      <w:startOverride w:val="1"/>
    </w:lvlOverride>
  </w:num>
  <w:num w:numId="2">
    <w:abstractNumId w:val="8"/>
    <w:lvlOverride w:ilvl="0">
      <w:startOverride w:val="1"/>
    </w:lvlOverride>
  </w:num>
  <w:num w:numId="3">
    <w:abstractNumId w:val="8"/>
  </w:num>
  <w:num w:numId="4">
    <w:abstractNumId w:val="4"/>
  </w:num>
  <w:num w:numId="5">
    <w:abstractNumId w:val="10"/>
  </w:num>
  <w:num w:numId="6">
    <w:abstractNumId w:val="2"/>
  </w:num>
  <w:num w:numId="7">
    <w:abstractNumId w:val="0"/>
  </w:num>
  <w:num w:numId="8">
    <w:abstractNumId w:val="5"/>
  </w:num>
  <w:num w:numId="9">
    <w:abstractNumId w:val="3"/>
  </w:num>
  <w:num w:numId="10">
    <w:abstractNumId w:val="9"/>
  </w:num>
  <w:num w:numId="11">
    <w:abstractNumId w:val="11"/>
  </w:num>
  <w:num w:numId="12">
    <w:abstractNumId w:val="6"/>
  </w:num>
  <w:num w:numId="13">
    <w:abstractNumId w:val="7"/>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1878"/>
    <w:rsid w:val="00005989"/>
    <w:rsid w:val="0001616B"/>
    <w:rsid w:val="000213FB"/>
    <w:rsid w:val="0003100C"/>
    <w:rsid w:val="000349A7"/>
    <w:rsid w:val="00037D1C"/>
    <w:rsid w:val="00041731"/>
    <w:rsid w:val="000420E0"/>
    <w:rsid w:val="00043486"/>
    <w:rsid w:val="00053FDA"/>
    <w:rsid w:val="00055807"/>
    <w:rsid w:val="00057899"/>
    <w:rsid w:val="0007059D"/>
    <w:rsid w:val="00072E1D"/>
    <w:rsid w:val="0007508B"/>
    <w:rsid w:val="0008797B"/>
    <w:rsid w:val="00091AFE"/>
    <w:rsid w:val="00094380"/>
    <w:rsid w:val="00094B9D"/>
    <w:rsid w:val="000B26AD"/>
    <w:rsid w:val="000B696B"/>
    <w:rsid w:val="000C2EA3"/>
    <w:rsid w:val="000C64B0"/>
    <w:rsid w:val="000D0228"/>
    <w:rsid w:val="000D0FD5"/>
    <w:rsid w:val="000D331E"/>
    <w:rsid w:val="000D4532"/>
    <w:rsid w:val="000F04BB"/>
    <w:rsid w:val="00100F9E"/>
    <w:rsid w:val="00103616"/>
    <w:rsid w:val="00107922"/>
    <w:rsid w:val="00111500"/>
    <w:rsid w:val="001119A4"/>
    <w:rsid w:val="001144D3"/>
    <w:rsid w:val="00115726"/>
    <w:rsid w:val="00115A15"/>
    <w:rsid w:val="0011707E"/>
    <w:rsid w:val="00122332"/>
    <w:rsid w:val="00124BD6"/>
    <w:rsid w:val="00125BE6"/>
    <w:rsid w:val="00126FB6"/>
    <w:rsid w:val="001270FB"/>
    <w:rsid w:val="00130F15"/>
    <w:rsid w:val="001350C9"/>
    <w:rsid w:val="00135FDD"/>
    <w:rsid w:val="001377C3"/>
    <w:rsid w:val="00143A22"/>
    <w:rsid w:val="00143ADC"/>
    <w:rsid w:val="0014454F"/>
    <w:rsid w:val="00144641"/>
    <w:rsid w:val="001462D2"/>
    <w:rsid w:val="00147CCB"/>
    <w:rsid w:val="0015329F"/>
    <w:rsid w:val="00153D0A"/>
    <w:rsid w:val="00176AC9"/>
    <w:rsid w:val="001776DE"/>
    <w:rsid w:val="001800E1"/>
    <w:rsid w:val="00182240"/>
    <w:rsid w:val="001A2140"/>
    <w:rsid w:val="001A7C48"/>
    <w:rsid w:val="001B79CE"/>
    <w:rsid w:val="001D046D"/>
    <w:rsid w:val="001D1AA2"/>
    <w:rsid w:val="001E7DC8"/>
    <w:rsid w:val="001F0151"/>
    <w:rsid w:val="001F20C1"/>
    <w:rsid w:val="001F65B2"/>
    <w:rsid w:val="00200484"/>
    <w:rsid w:val="002102F6"/>
    <w:rsid w:val="00223BA1"/>
    <w:rsid w:val="00225394"/>
    <w:rsid w:val="00232FDA"/>
    <w:rsid w:val="002341BF"/>
    <w:rsid w:val="00253DAD"/>
    <w:rsid w:val="00260EA5"/>
    <w:rsid w:val="002610FA"/>
    <w:rsid w:val="00265523"/>
    <w:rsid w:val="00270553"/>
    <w:rsid w:val="00271878"/>
    <w:rsid w:val="00272814"/>
    <w:rsid w:val="002743BC"/>
    <w:rsid w:val="002814E2"/>
    <w:rsid w:val="0028712D"/>
    <w:rsid w:val="002915FE"/>
    <w:rsid w:val="002922A3"/>
    <w:rsid w:val="00292C97"/>
    <w:rsid w:val="00295018"/>
    <w:rsid w:val="002A6F38"/>
    <w:rsid w:val="002A7B84"/>
    <w:rsid w:val="002C7CDC"/>
    <w:rsid w:val="002C7FB3"/>
    <w:rsid w:val="002D0F7B"/>
    <w:rsid w:val="002E2C2A"/>
    <w:rsid w:val="002F1635"/>
    <w:rsid w:val="002F1FC3"/>
    <w:rsid w:val="002F715D"/>
    <w:rsid w:val="002F7866"/>
    <w:rsid w:val="003103CD"/>
    <w:rsid w:val="00311DA9"/>
    <w:rsid w:val="00312791"/>
    <w:rsid w:val="00316732"/>
    <w:rsid w:val="00327214"/>
    <w:rsid w:val="003308D0"/>
    <w:rsid w:val="0033143E"/>
    <w:rsid w:val="00334445"/>
    <w:rsid w:val="0033767A"/>
    <w:rsid w:val="003427F2"/>
    <w:rsid w:val="003517E6"/>
    <w:rsid w:val="00354ADE"/>
    <w:rsid w:val="00355248"/>
    <w:rsid w:val="00362D20"/>
    <w:rsid w:val="00363A7E"/>
    <w:rsid w:val="003644F6"/>
    <w:rsid w:val="00364FE5"/>
    <w:rsid w:val="003727DE"/>
    <w:rsid w:val="003740F1"/>
    <w:rsid w:val="00374C1A"/>
    <w:rsid w:val="003A2407"/>
    <w:rsid w:val="003A4532"/>
    <w:rsid w:val="003C00F6"/>
    <w:rsid w:val="003C2CBE"/>
    <w:rsid w:val="003C6AA0"/>
    <w:rsid w:val="003E586B"/>
    <w:rsid w:val="003F45D1"/>
    <w:rsid w:val="00413C00"/>
    <w:rsid w:val="00441994"/>
    <w:rsid w:val="004450D5"/>
    <w:rsid w:val="0045191A"/>
    <w:rsid w:val="004560B9"/>
    <w:rsid w:val="00460CA3"/>
    <w:rsid w:val="004724E9"/>
    <w:rsid w:val="004771D1"/>
    <w:rsid w:val="00483632"/>
    <w:rsid w:val="004836A0"/>
    <w:rsid w:val="00483791"/>
    <w:rsid w:val="0048526F"/>
    <w:rsid w:val="004913CE"/>
    <w:rsid w:val="004A3C9D"/>
    <w:rsid w:val="004C003A"/>
    <w:rsid w:val="004C1A4A"/>
    <w:rsid w:val="004C645B"/>
    <w:rsid w:val="004D4C5F"/>
    <w:rsid w:val="004D4CB9"/>
    <w:rsid w:val="004E0E08"/>
    <w:rsid w:val="004E4970"/>
    <w:rsid w:val="004F79F9"/>
    <w:rsid w:val="0050230F"/>
    <w:rsid w:val="005033E7"/>
    <w:rsid w:val="005058F2"/>
    <w:rsid w:val="00521B32"/>
    <w:rsid w:val="00521D0C"/>
    <w:rsid w:val="0052494B"/>
    <w:rsid w:val="005305D4"/>
    <w:rsid w:val="005311B4"/>
    <w:rsid w:val="00537C3B"/>
    <w:rsid w:val="0054369B"/>
    <w:rsid w:val="00544141"/>
    <w:rsid w:val="0055579A"/>
    <w:rsid w:val="00555FAA"/>
    <w:rsid w:val="0055743F"/>
    <w:rsid w:val="00560DDF"/>
    <w:rsid w:val="00565B2C"/>
    <w:rsid w:val="00575857"/>
    <w:rsid w:val="0058150A"/>
    <w:rsid w:val="005844C7"/>
    <w:rsid w:val="005974DC"/>
    <w:rsid w:val="005A21C1"/>
    <w:rsid w:val="005A3244"/>
    <w:rsid w:val="005B0FB2"/>
    <w:rsid w:val="005C78B1"/>
    <w:rsid w:val="005D0F8C"/>
    <w:rsid w:val="005D1AF1"/>
    <w:rsid w:val="005D3D86"/>
    <w:rsid w:val="005E4F6E"/>
    <w:rsid w:val="005F1E17"/>
    <w:rsid w:val="0060018A"/>
    <w:rsid w:val="0060019E"/>
    <w:rsid w:val="00601804"/>
    <w:rsid w:val="00603C14"/>
    <w:rsid w:val="00612657"/>
    <w:rsid w:val="00612FE3"/>
    <w:rsid w:val="00614479"/>
    <w:rsid w:val="006150A7"/>
    <w:rsid w:val="0063338D"/>
    <w:rsid w:val="00634C2F"/>
    <w:rsid w:val="0064612F"/>
    <w:rsid w:val="00646AA6"/>
    <w:rsid w:val="0065328E"/>
    <w:rsid w:val="00693CAA"/>
    <w:rsid w:val="006A6F94"/>
    <w:rsid w:val="006B00C4"/>
    <w:rsid w:val="006C12E3"/>
    <w:rsid w:val="006C1866"/>
    <w:rsid w:val="006C3920"/>
    <w:rsid w:val="006E13FD"/>
    <w:rsid w:val="006E178E"/>
    <w:rsid w:val="006E3116"/>
    <w:rsid w:val="006E3340"/>
    <w:rsid w:val="006E6358"/>
    <w:rsid w:val="006E6EA6"/>
    <w:rsid w:val="006F0517"/>
    <w:rsid w:val="006F4BA7"/>
    <w:rsid w:val="00710A87"/>
    <w:rsid w:val="00712F23"/>
    <w:rsid w:val="00714029"/>
    <w:rsid w:val="007250B4"/>
    <w:rsid w:val="0074077A"/>
    <w:rsid w:val="007457A3"/>
    <w:rsid w:val="00754D55"/>
    <w:rsid w:val="007619BF"/>
    <w:rsid w:val="007635AE"/>
    <w:rsid w:val="00764802"/>
    <w:rsid w:val="00767C94"/>
    <w:rsid w:val="00773B91"/>
    <w:rsid w:val="0077541D"/>
    <w:rsid w:val="00783449"/>
    <w:rsid w:val="00785B13"/>
    <w:rsid w:val="00787F54"/>
    <w:rsid w:val="007957C0"/>
    <w:rsid w:val="007A5103"/>
    <w:rsid w:val="007A53E0"/>
    <w:rsid w:val="007A6490"/>
    <w:rsid w:val="007C0EA0"/>
    <w:rsid w:val="007C11A9"/>
    <w:rsid w:val="007C39C7"/>
    <w:rsid w:val="007D7763"/>
    <w:rsid w:val="007F2C58"/>
    <w:rsid w:val="008024E9"/>
    <w:rsid w:val="008231DD"/>
    <w:rsid w:val="00837528"/>
    <w:rsid w:val="00840B5F"/>
    <w:rsid w:val="008423F3"/>
    <w:rsid w:val="00871B81"/>
    <w:rsid w:val="008751B6"/>
    <w:rsid w:val="008768CB"/>
    <w:rsid w:val="0087746B"/>
    <w:rsid w:val="00877546"/>
    <w:rsid w:val="00892F5B"/>
    <w:rsid w:val="008938E5"/>
    <w:rsid w:val="008A05A2"/>
    <w:rsid w:val="008A128B"/>
    <w:rsid w:val="008B1E73"/>
    <w:rsid w:val="008B563D"/>
    <w:rsid w:val="008B76BF"/>
    <w:rsid w:val="008C7D3B"/>
    <w:rsid w:val="008D4084"/>
    <w:rsid w:val="008D7CBC"/>
    <w:rsid w:val="00906892"/>
    <w:rsid w:val="00933CF6"/>
    <w:rsid w:val="00941CD6"/>
    <w:rsid w:val="009465F1"/>
    <w:rsid w:val="00950833"/>
    <w:rsid w:val="00953441"/>
    <w:rsid w:val="00953940"/>
    <w:rsid w:val="009711CE"/>
    <w:rsid w:val="0098418C"/>
    <w:rsid w:val="00993696"/>
    <w:rsid w:val="009945E7"/>
    <w:rsid w:val="009C64E3"/>
    <w:rsid w:val="009D4011"/>
    <w:rsid w:val="009D529F"/>
    <w:rsid w:val="009F73A0"/>
    <w:rsid w:val="009F7ABC"/>
    <w:rsid w:val="00A01979"/>
    <w:rsid w:val="00A04E2C"/>
    <w:rsid w:val="00A058D5"/>
    <w:rsid w:val="00A05D3B"/>
    <w:rsid w:val="00A1679D"/>
    <w:rsid w:val="00A23F76"/>
    <w:rsid w:val="00A324C9"/>
    <w:rsid w:val="00A36D9F"/>
    <w:rsid w:val="00A37D1D"/>
    <w:rsid w:val="00A57578"/>
    <w:rsid w:val="00A61D1A"/>
    <w:rsid w:val="00A635E2"/>
    <w:rsid w:val="00A8219E"/>
    <w:rsid w:val="00AA23CF"/>
    <w:rsid w:val="00AA772B"/>
    <w:rsid w:val="00AA7E5B"/>
    <w:rsid w:val="00AB5660"/>
    <w:rsid w:val="00AB7B37"/>
    <w:rsid w:val="00AC3AAE"/>
    <w:rsid w:val="00AC6460"/>
    <w:rsid w:val="00AD0343"/>
    <w:rsid w:val="00AD232E"/>
    <w:rsid w:val="00AD71E7"/>
    <w:rsid w:val="00AE2756"/>
    <w:rsid w:val="00AE7947"/>
    <w:rsid w:val="00AF78DF"/>
    <w:rsid w:val="00B01B25"/>
    <w:rsid w:val="00B110EA"/>
    <w:rsid w:val="00B155DA"/>
    <w:rsid w:val="00B17143"/>
    <w:rsid w:val="00B17A5D"/>
    <w:rsid w:val="00B36D5E"/>
    <w:rsid w:val="00B538CD"/>
    <w:rsid w:val="00B55606"/>
    <w:rsid w:val="00B55766"/>
    <w:rsid w:val="00B62474"/>
    <w:rsid w:val="00B64598"/>
    <w:rsid w:val="00B67525"/>
    <w:rsid w:val="00B70721"/>
    <w:rsid w:val="00B72EF4"/>
    <w:rsid w:val="00B83534"/>
    <w:rsid w:val="00B8685C"/>
    <w:rsid w:val="00B9120F"/>
    <w:rsid w:val="00B94BAB"/>
    <w:rsid w:val="00B97F94"/>
    <w:rsid w:val="00BA543C"/>
    <w:rsid w:val="00BC040E"/>
    <w:rsid w:val="00BC30E0"/>
    <w:rsid w:val="00BC3D8F"/>
    <w:rsid w:val="00BC68BE"/>
    <w:rsid w:val="00BD4C13"/>
    <w:rsid w:val="00BE4049"/>
    <w:rsid w:val="00BE41F2"/>
    <w:rsid w:val="00BF14F4"/>
    <w:rsid w:val="00BF5356"/>
    <w:rsid w:val="00BF565D"/>
    <w:rsid w:val="00C11E8F"/>
    <w:rsid w:val="00C16C23"/>
    <w:rsid w:val="00C17C9C"/>
    <w:rsid w:val="00C22105"/>
    <w:rsid w:val="00C243F2"/>
    <w:rsid w:val="00C27682"/>
    <w:rsid w:val="00C33D97"/>
    <w:rsid w:val="00C36D8C"/>
    <w:rsid w:val="00C373E3"/>
    <w:rsid w:val="00C47C6F"/>
    <w:rsid w:val="00C50FE2"/>
    <w:rsid w:val="00C557EE"/>
    <w:rsid w:val="00C64B35"/>
    <w:rsid w:val="00C65786"/>
    <w:rsid w:val="00C66B44"/>
    <w:rsid w:val="00C70285"/>
    <w:rsid w:val="00C70E33"/>
    <w:rsid w:val="00C71D05"/>
    <w:rsid w:val="00C77A4B"/>
    <w:rsid w:val="00C834D6"/>
    <w:rsid w:val="00C87A70"/>
    <w:rsid w:val="00C90005"/>
    <w:rsid w:val="00C92F3C"/>
    <w:rsid w:val="00C94198"/>
    <w:rsid w:val="00CB1CFC"/>
    <w:rsid w:val="00CC33CD"/>
    <w:rsid w:val="00CC357D"/>
    <w:rsid w:val="00CC6087"/>
    <w:rsid w:val="00CC7BFD"/>
    <w:rsid w:val="00CD078B"/>
    <w:rsid w:val="00CD124D"/>
    <w:rsid w:val="00CD13FE"/>
    <w:rsid w:val="00CD1455"/>
    <w:rsid w:val="00CE458B"/>
    <w:rsid w:val="00CE58F1"/>
    <w:rsid w:val="00D0034E"/>
    <w:rsid w:val="00D03255"/>
    <w:rsid w:val="00D04AC3"/>
    <w:rsid w:val="00D05275"/>
    <w:rsid w:val="00D13028"/>
    <w:rsid w:val="00D22587"/>
    <w:rsid w:val="00D26198"/>
    <w:rsid w:val="00D30051"/>
    <w:rsid w:val="00D42581"/>
    <w:rsid w:val="00D42C7C"/>
    <w:rsid w:val="00D50204"/>
    <w:rsid w:val="00D55128"/>
    <w:rsid w:val="00D6633E"/>
    <w:rsid w:val="00D67863"/>
    <w:rsid w:val="00D72BE0"/>
    <w:rsid w:val="00D75176"/>
    <w:rsid w:val="00D93143"/>
    <w:rsid w:val="00DA3BF1"/>
    <w:rsid w:val="00DA434C"/>
    <w:rsid w:val="00DA6EEC"/>
    <w:rsid w:val="00DB0FFF"/>
    <w:rsid w:val="00DB450E"/>
    <w:rsid w:val="00DC0BA3"/>
    <w:rsid w:val="00DC3EA9"/>
    <w:rsid w:val="00DC7FB4"/>
    <w:rsid w:val="00DD6D4A"/>
    <w:rsid w:val="00DE5C54"/>
    <w:rsid w:val="00DF0709"/>
    <w:rsid w:val="00DF2B93"/>
    <w:rsid w:val="00DF3DE6"/>
    <w:rsid w:val="00DF6749"/>
    <w:rsid w:val="00DF78DF"/>
    <w:rsid w:val="00E0245A"/>
    <w:rsid w:val="00E04472"/>
    <w:rsid w:val="00E16070"/>
    <w:rsid w:val="00E1684E"/>
    <w:rsid w:val="00E23781"/>
    <w:rsid w:val="00E3661F"/>
    <w:rsid w:val="00E44329"/>
    <w:rsid w:val="00E5795E"/>
    <w:rsid w:val="00E615FD"/>
    <w:rsid w:val="00E750C1"/>
    <w:rsid w:val="00E77F2B"/>
    <w:rsid w:val="00E813DB"/>
    <w:rsid w:val="00E8162C"/>
    <w:rsid w:val="00E867FB"/>
    <w:rsid w:val="00EA1238"/>
    <w:rsid w:val="00EA6DEF"/>
    <w:rsid w:val="00EB4698"/>
    <w:rsid w:val="00EB480D"/>
    <w:rsid w:val="00EC0848"/>
    <w:rsid w:val="00EC6774"/>
    <w:rsid w:val="00ED693C"/>
    <w:rsid w:val="00EE3B7E"/>
    <w:rsid w:val="00EE7258"/>
    <w:rsid w:val="00EE7682"/>
    <w:rsid w:val="00EE7D8B"/>
    <w:rsid w:val="00F0454D"/>
    <w:rsid w:val="00F06449"/>
    <w:rsid w:val="00F0783B"/>
    <w:rsid w:val="00F203D8"/>
    <w:rsid w:val="00F2042C"/>
    <w:rsid w:val="00F231B7"/>
    <w:rsid w:val="00F31B91"/>
    <w:rsid w:val="00F40406"/>
    <w:rsid w:val="00F44849"/>
    <w:rsid w:val="00F450A8"/>
    <w:rsid w:val="00F500E2"/>
    <w:rsid w:val="00F553E0"/>
    <w:rsid w:val="00F67B61"/>
    <w:rsid w:val="00F7635D"/>
    <w:rsid w:val="00F845DD"/>
    <w:rsid w:val="00FA0209"/>
    <w:rsid w:val="00FA17F6"/>
    <w:rsid w:val="00FB0D1C"/>
    <w:rsid w:val="00FB35DE"/>
    <w:rsid w:val="00FB53B6"/>
    <w:rsid w:val="00FC44FC"/>
    <w:rsid w:val="00FD57CF"/>
    <w:rsid w:val="00FD76C2"/>
    <w:rsid w:val="00FE2355"/>
    <w:rsid w:val="00FE5C40"/>
    <w:rsid w:val="00FE6C18"/>
    <w:rsid w:val="00FF3B41"/>
    <w:rsid w:val="00FF52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BA9ADD"/>
  <w15:docId w15:val="{DC87F537-D863-4D98-9CC6-EEF9273702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GB" w:eastAsia="en-US" w:bidi="ar-SA"/>
      </w:rPr>
    </w:rPrDefault>
    <w:pPrDefault>
      <w:pPr>
        <w:ind w:firstLine="709"/>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4F79F9"/>
  </w:style>
  <w:style w:type="paragraph" w:styleId="1">
    <w:name w:val="heading 1"/>
    <w:basedOn w:val="a0"/>
    <w:next w:val="a0"/>
    <w:link w:val="10"/>
    <w:uiPriority w:val="9"/>
    <w:qFormat/>
    <w:rsid w:val="00FB0D1C"/>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0"/>
    <w:next w:val="a0"/>
    <w:link w:val="20"/>
    <w:autoRedefine/>
    <w:rsid w:val="00271878"/>
    <w:pPr>
      <w:keepNext/>
      <w:spacing w:before="240" w:after="60"/>
      <w:ind w:left="567" w:firstLine="0"/>
      <w:jc w:val="left"/>
      <w:outlineLvl w:val="1"/>
    </w:pPr>
    <w:rPr>
      <w:rFonts w:eastAsia="Times New Roman" w:cs="Times New Roman"/>
      <w:b/>
      <w:bCs/>
      <w:iCs/>
      <w:caps/>
      <w:shd w:val="clear" w:color="auto" w:fill="FFFFFF"/>
      <w:lang w:val="uz-Cyrl-UZ" w:eastAsia="ru-RU"/>
    </w:rPr>
  </w:style>
  <w:style w:type="paragraph" w:styleId="3">
    <w:name w:val="heading 3"/>
    <w:basedOn w:val="a0"/>
    <w:next w:val="a0"/>
    <w:link w:val="30"/>
    <w:uiPriority w:val="9"/>
    <w:rsid w:val="00271878"/>
    <w:pPr>
      <w:keepNext/>
      <w:spacing w:before="120" w:after="60"/>
      <w:ind w:left="567" w:firstLine="0"/>
      <w:jc w:val="left"/>
      <w:outlineLvl w:val="2"/>
    </w:pPr>
    <w:rPr>
      <w:rFonts w:eastAsia="Times New Roman" w:cs="Times New Roman"/>
      <w:b/>
      <w:bCs/>
      <w:szCs w:val="26"/>
      <w:lang w:val="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0">
    <w:name w:val="Заголовок 2 Знак"/>
    <w:basedOn w:val="a1"/>
    <w:link w:val="2"/>
    <w:rsid w:val="00271878"/>
    <w:rPr>
      <w:rFonts w:eastAsia="Times New Roman" w:cs="Times New Roman"/>
      <w:b/>
      <w:bCs/>
      <w:iCs/>
      <w:caps/>
      <w:lang w:val="uz-Cyrl-UZ" w:eastAsia="ru-RU"/>
    </w:rPr>
  </w:style>
  <w:style w:type="character" w:customStyle="1" w:styleId="30">
    <w:name w:val="Заголовок 3 Знак"/>
    <w:basedOn w:val="a1"/>
    <w:link w:val="3"/>
    <w:uiPriority w:val="9"/>
    <w:rsid w:val="00271878"/>
    <w:rPr>
      <w:rFonts w:eastAsia="Times New Roman" w:cs="Times New Roman"/>
      <w:b/>
      <w:bCs/>
      <w:szCs w:val="26"/>
      <w:lang w:val="ru-RU"/>
    </w:rPr>
  </w:style>
  <w:style w:type="character" w:styleId="a4">
    <w:name w:val="Hyperlink"/>
    <w:uiPriority w:val="99"/>
    <w:rsid w:val="00271878"/>
    <w:rPr>
      <w:color w:val="000080"/>
      <w:u w:val="single"/>
    </w:rPr>
  </w:style>
  <w:style w:type="paragraph" w:customStyle="1" w:styleId="a5">
    <w:name w:val="Организация"/>
    <w:basedOn w:val="a0"/>
    <w:link w:val="a6"/>
    <w:rsid w:val="00271878"/>
    <w:pPr>
      <w:ind w:left="567" w:firstLine="0"/>
      <w:jc w:val="left"/>
    </w:pPr>
    <w:rPr>
      <w:rFonts w:eastAsia="Calibri" w:cs="Times New Roman"/>
      <w:bCs/>
      <w:i/>
      <w:color w:val="000000"/>
      <w:sz w:val="20"/>
      <w:lang w:val="en-US"/>
    </w:rPr>
  </w:style>
  <w:style w:type="character" w:customStyle="1" w:styleId="a6">
    <w:name w:val="Организация Знак"/>
    <w:basedOn w:val="a1"/>
    <w:link w:val="a5"/>
    <w:rsid w:val="00271878"/>
    <w:rPr>
      <w:rFonts w:eastAsia="Calibri" w:cs="Times New Roman"/>
      <w:bCs/>
      <w:i/>
      <w:color w:val="000000"/>
      <w:sz w:val="20"/>
      <w:lang w:val="en-US"/>
    </w:rPr>
  </w:style>
  <w:style w:type="paragraph" w:customStyle="1" w:styleId="a7">
    <w:name w:val="Матн"/>
    <w:basedOn w:val="a0"/>
    <w:link w:val="a8"/>
    <w:rsid w:val="00271878"/>
    <w:pPr>
      <w:ind w:firstLine="567"/>
    </w:pPr>
    <w:rPr>
      <w:rFonts w:eastAsia="Calibri" w:cs="Times New Roman"/>
      <w:lang w:val="ru-RU"/>
    </w:rPr>
  </w:style>
  <w:style w:type="character" w:customStyle="1" w:styleId="a8">
    <w:name w:val="Матн Знак"/>
    <w:basedOn w:val="a1"/>
    <w:link w:val="a7"/>
    <w:rsid w:val="00271878"/>
    <w:rPr>
      <w:rFonts w:eastAsia="Calibri" w:cs="Times New Roman"/>
      <w:lang w:val="ru-RU"/>
    </w:rPr>
  </w:style>
  <w:style w:type="paragraph" w:customStyle="1" w:styleId="a9">
    <w:name w:val="Назв. литература"/>
    <w:basedOn w:val="a0"/>
    <w:link w:val="aa"/>
    <w:rsid w:val="00271878"/>
    <w:pPr>
      <w:spacing w:before="60"/>
      <w:ind w:left="567" w:firstLine="0"/>
      <w:jc w:val="left"/>
    </w:pPr>
    <w:rPr>
      <w:rFonts w:eastAsia="Calibri" w:cs="Times New Roman"/>
      <w:i/>
      <w:color w:val="000000"/>
      <w:sz w:val="20"/>
      <w:szCs w:val="20"/>
      <w:lang w:val="ru-RU"/>
    </w:rPr>
  </w:style>
  <w:style w:type="character" w:customStyle="1" w:styleId="aa">
    <w:name w:val="Назв. литература Знак"/>
    <w:basedOn w:val="a1"/>
    <w:link w:val="a9"/>
    <w:rsid w:val="00271878"/>
    <w:rPr>
      <w:rFonts w:eastAsia="Calibri" w:cs="Times New Roman"/>
      <w:i/>
      <w:color w:val="000000"/>
      <w:sz w:val="20"/>
      <w:szCs w:val="20"/>
      <w:lang w:val="ru-RU"/>
    </w:rPr>
  </w:style>
  <w:style w:type="paragraph" w:customStyle="1" w:styleId="a">
    <w:name w:val="Литература"/>
    <w:basedOn w:val="a0"/>
    <w:rsid w:val="00271878"/>
    <w:pPr>
      <w:numPr>
        <w:numId w:val="1"/>
      </w:numPr>
      <w:autoSpaceDE w:val="0"/>
      <w:autoSpaceDN w:val="0"/>
      <w:adjustRightInd w:val="0"/>
    </w:pPr>
    <w:rPr>
      <w:rFonts w:eastAsia="Calibri" w:cs="Times New Roman"/>
      <w:bCs/>
      <w:color w:val="000000"/>
      <w:sz w:val="20"/>
      <w:szCs w:val="20"/>
      <w:lang w:val="ru-RU"/>
    </w:rPr>
  </w:style>
  <w:style w:type="paragraph" w:customStyle="1" w:styleId="ab">
    <w:name w:val="Адрес телефон"/>
    <w:basedOn w:val="a5"/>
    <w:link w:val="ac"/>
    <w:rsid w:val="00271878"/>
    <w:pPr>
      <w:spacing w:after="120"/>
    </w:pPr>
    <w:rPr>
      <w:bCs w:val="0"/>
      <w:i w:val="0"/>
      <w:szCs w:val="20"/>
    </w:rPr>
  </w:style>
  <w:style w:type="character" w:customStyle="1" w:styleId="ac">
    <w:name w:val="Адрес телефон Знак"/>
    <w:basedOn w:val="a6"/>
    <w:link w:val="ab"/>
    <w:rsid w:val="00271878"/>
    <w:rPr>
      <w:rFonts w:eastAsia="Calibri" w:cs="Times New Roman"/>
      <w:bCs/>
      <w:i/>
      <w:color w:val="000000"/>
      <w:sz w:val="20"/>
      <w:szCs w:val="20"/>
      <w:lang w:val="en-US"/>
    </w:rPr>
  </w:style>
  <w:style w:type="character" w:customStyle="1" w:styleId="apple-converted-space">
    <w:name w:val="apple-converted-space"/>
    <w:basedOn w:val="a1"/>
    <w:rsid w:val="00271878"/>
    <w:rPr>
      <w:rFonts w:cs="Times New Roman"/>
    </w:rPr>
  </w:style>
  <w:style w:type="paragraph" w:customStyle="1" w:styleId="figure">
    <w:name w:val="figure"/>
    <w:basedOn w:val="a7"/>
    <w:link w:val="figureChar"/>
    <w:rsid w:val="00271878"/>
    <w:pPr>
      <w:spacing w:before="120" w:after="120"/>
      <w:ind w:firstLine="0"/>
      <w:jc w:val="center"/>
    </w:pPr>
    <w:rPr>
      <w:i/>
      <w:sz w:val="20"/>
      <w:szCs w:val="20"/>
    </w:rPr>
  </w:style>
  <w:style w:type="character" w:customStyle="1" w:styleId="figureChar">
    <w:name w:val="figure Char"/>
    <w:basedOn w:val="a8"/>
    <w:link w:val="figure"/>
    <w:rsid w:val="00271878"/>
    <w:rPr>
      <w:rFonts w:eastAsia="Calibri" w:cs="Times New Roman"/>
      <w:i/>
      <w:sz w:val="20"/>
      <w:szCs w:val="20"/>
      <w:lang w:val="ru-RU"/>
    </w:rPr>
  </w:style>
  <w:style w:type="paragraph" w:styleId="ad">
    <w:name w:val="Balloon Text"/>
    <w:basedOn w:val="a0"/>
    <w:link w:val="ae"/>
    <w:uiPriority w:val="99"/>
    <w:semiHidden/>
    <w:unhideWhenUsed/>
    <w:rsid w:val="00271878"/>
    <w:rPr>
      <w:rFonts w:ascii="Tahoma" w:hAnsi="Tahoma" w:cs="Tahoma"/>
      <w:sz w:val="16"/>
      <w:szCs w:val="16"/>
    </w:rPr>
  </w:style>
  <w:style w:type="character" w:customStyle="1" w:styleId="ae">
    <w:name w:val="Текст выноски Знак"/>
    <w:basedOn w:val="a1"/>
    <w:link w:val="ad"/>
    <w:uiPriority w:val="99"/>
    <w:semiHidden/>
    <w:rsid w:val="00271878"/>
    <w:rPr>
      <w:rFonts w:ascii="Tahoma" w:hAnsi="Tahoma" w:cs="Tahoma"/>
      <w:sz w:val="16"/>
      <w:szCs w:val="16"/>
    </w:rPr>
  </w:style>
  <w:style w:type="paragraph" w:customStyle="1" w:styleId="EuroSunTableFigureCaption">
    <w:name w:val="EuroSun_TableFigureCaption"/>
    <w:qFormat/>
    <w:rsid w:val="00EE7D8B"/>
    <w:pPr>
      <w:tabs>
        <w:tab w:val="left" w:pos="136"/>
        <w:tab w:val="left" w:pos="278"/>
      </w:tabs>
      <w:spacing w:before="80" w:after="160" w:line="276" w:lineRule="auto"/>
      <w:ind w:left="57" w:right="57" w:firstLine="0"/>
      <w:jc w:val="center"/>
    </w:pPr>
    <w:rPr>
      <w:rFonts w:eastAsia="Times New Roman" w:cs="Times New Roman"/>
      <w:b/>
      <w:color w:val="000000"/>
      <w:sz w:val="16"/>
      <w:szCs w:val="20"/>
      <w:lang w:val="en-US" w:eastAsia="de-DE"/>
    </w:rPr>
  </w:style>
  <w:style w:type="table" w:styleId="af">
    <w:name w:val="Table Grid"/>
    <w:basedOn w:val="a2"/>
    <w:uiPriority w:val="39"/>
    <w:rsid w:val="00EE7D8B"/>
    <w:pPr>
      <w:ind w:firstLine="0"/>
      <w:jc w:val="left"/>
    </w:pPr>
    <w:rPr>
      <w:rFonts w:eastAsia="Times New Roman"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uroSunTableHeader">
    <w:name w:val="EuroSun_TableHeader"/>
    <w:qFormat/>
    <w:rsid w:val="00EE7D8B"/>
    <w:pPr>
      <w:spacing w:after="80"/>
      <w:ind w:firstLine="0"/>
      <w:jc w:val="center"/>
    </w:pPr>
    <w:rPr>
      <w:rFonts w:eastAsia="Times New Roman" w:cs="Times New Roman"/>
      <w:b/>
      <w:bCs/>
      <w:color w:val="000000"/>
      <w:sz w:val="20"/>
      <w:szCs w:val="20"/>
      <w:lang w:eastAsia="de-DE"/>
    </w:rPr>
  </w:style>
  <w:style w:type="paragraph" w:customStyle="1" w:styleId="EuroSunTableText">
    <w:name w:val="EuroSun_TableText"/>
    <w:qFormat/>
    <w:rsid w:val="00EE7D8B"/>
    <w:pPr>
      <w:spacing w:after="80"/>
      <w:ind w:firstLine="0"/>
      <w:jc w:val="center"/>
    </w:pPr>
    <w:rPr>
      <w:rFonts w:eastAsia="Times New Roman" w:cs="Times New Roman"/>
      <w:color w:val="000000"/>
      <w:sz w:val="20"/>
      <w:szCs w:val="20"/>
      <w:lang w:eastAsia="de-DE"/>
    </w:rPr>
  </w:style>
  <w:style w:type="character" w:customStyle="1" w:styleId="EuroSunBulletedListCar">
    <w:name w:val="EuroSun_BulletedList Car"/>
    <w:basedOn w:val="a1"/>
    <w:link w:val="EuroSunBulletedList"/>
    <w:rsid w:val="00DF2B93"/>
    <w:rPr>
      <w:rFonts w:cs="Minion Pro"/>
      <w:color w:val="000000"/>
      <w:lang w:val="en-US" w:eastAsia="de-DE"/>
    </w:rPr>
  </w:style>
  <w:style w:type="paragraph" w:customStyle="1" w:styleId="EuroSunBulletedList">
    <w:name w:val="EuroSun_BulletedList"/>
    <w:link w:val="EuroSunBulletedListCar"/>
    <w:qFormat/>
    <w:rsid w:val="00DF2B93"/>
    <w:pPr>
      <w:numPr>
        <w:numId w:val="4"/>
      </w:numPr>
      <w:tabs>
        <w:tab w:val="left" w:pos="600"/>
      </w:tabs>
      <w:spacing w:after="100" w:line="240" w:lineRule="exact"/>
      <w:ind w:left="240" w:firstLine="0"/>
      <w:jc w:val="left"/>
    </w:pPr>
    <w:rPr>
      <w:rFonts w:cs="Minion Pro"/>
      <w:color w:val="000000"/>
      <w:lang w:val="en-US" w:eastAsia="de-DE"/>
    </w:rPr>
  </w:style>
  <w:style w:type="paragraph" w:customStyle="1" w:styleId="EuroSunHeading11">
    <w:name w:val="EuroSun_Heading1.1"/>
    <w:basedOn w:val="a0"/>
    <w:next w:val="a0"/>
    <w:qFormat/>
    <w:rsid w:val="00DF2B93"/>
    <w:pPr>
      <w:spacing w:before="160" w:after="80" w:line="240" w:lineRule="exact"/>
      <w:ind w:firstLine="0"/>
      <w:jc w:val="left"/>
    </w:pPr>
    <w:rPr>
      <w:rFonts w:ascii="Arial" w:eastAsia="Times New Roman" w:hAnsi="Arial" w:cs="Times New Roman"/>
      <w:i/>
      <w:color w:val="000000"/>
      <w:sz w:val="20"/>
      <w:lang w:eastAsia="de-DE"/>
    </w:rPr>
  </w:style>
  <w:style w:type="character" w:styleId="af0">
    <w:name w:val="Placeholder Text"/>
    <w:basedOn w:val="a1"/>
    <w:uiPriority w:val="99"/>
    <w:semiHidden/>
    <w:rsid w:val="00993696"/>
    <w:rPr>
      <w:color w:val="808080"/>
    </w:rPr>
  </w:style>
  <w:style w:type="paragraph" w:styleId="af1">
    <w:name w:val="header"/>
    <w:basedOn w:val="a0"/>
    <w:link w:val="af2"/>
    <w:uiPriority w:val="99"/>
    <w:unhideWhenUsed/>
    <w:rsid w:val="006E13FD"/>
    <w:pPr>
      <w:tabs>
        <w:tab w:val="center" w:pos="4677"/>
        <w:tab w:val="right" w:pos="9355"/>
      </w:tabs>
    </w:pPr>
  </w:style>
  <w:style w:type="character" w:customStyle="1" w:styleId="af2">
    <w:name w:val="Верхний колонтитул Знак"/>
    <w:basedOn w:val="a1"/>
    <w:link w:val="af1"/>
    <w:uiPriority w:val="99"/>
    <w:rsid w:val="006E13FD"/>
  </w:style>
  <w:style w:type="paragraph" w:styleId="af3">
    <w:name w:val="footer"/>
    <w:basedOn w:val="a0"/>
    <w:link w:val="af4"/>
    <w:uiPriority w:val="99"/>
    <w:unhideWhenUsed/>
    <w:rsid w:val="006E13FD"/>
    <w:pPr>
      <w:tabs>
        <w:tab w:val="center" w:pos="4677"/>
        <w:tab w:val="right" w:pos="9355"/>
      </w:tabs>
    </w:pPr>
  </w:style>
  <w:style w:type="character" w:customStyle="1" w:styleId="af4">
    <w:name w:val="Нижний колонтитул Знак"/>
    <w:basedOn w:val="a1"/>
    <w:link w:val="af3"/>
    <w:uiPriority w:val="99"/>
    <w:rsid w:val="006E13FD"/>
  </w:style>
  <w:style w:type="paragraph" w:customStyle="1" w:styleId="yiv2720996725msonormal">
    <w:name w:val="yiv2720996725msonormal"/>
    <w:basedOn w:val="a0"/>
    <w:rsid w:val="006E13FD"/>
    <w:pPr>
      <w:spacing w:before="100" w:beforeAutospacing="1" w:after="100" w:afterAutospacing="1"/>
      <w:ind w:firstLine="0"/>
      <w:jc w:val="left"/>
    </w:pPr>
    <w:rPr>
      <w:rFonts w:eastAsia="Times New Roman" w:cs="Times New Roman"/>
      <w:sz w:val="24"/>
      <w:szCs w:val="24"/>
      <w:lang w:val="ru-RU" w:eastAsia="ru-RU"/>
    </w:rPr>
  </w:style>
  <w:style w:type="character" w:customStyle="1" w:styleId="UnresolvedMention">
    <w:name w:val="Unresolved Mention"/>
    <w:basedOn w:val="a1"/>
    <w:uiPriority w:val="99"/>
    <w:semiHidden/>
    <w:unhideWhenUsed/>
    <w:rsid w:val="00FB0D1C"/>
    <w:rPr>
      <w:color w:val="605E5C"/>
      <w:shd w:val="clear" w:color="auto" w:fill="E1DFDD"/>
    </w:rPr>
  </w:style>
  <w:style w:type="character" w:customStyle="1" w:styleId="10">
    <w:name w:val="Заголовок 1 Знак"/>
    <w:basedOn w:val="a1"/>
    <w:link w:val="1"/>
    <w:uiPriority w:val="9"/>
    <w:rsid w:val="00FB0D1C"/>
    <w:rPr>
      <w:rFonts w:asciiTheme="majorHAnsi" w:eastAsiaTheme="majorEastAsia" w:hAnsiTheme="majorHAnsi" w:cstheme="majorBidi"/>
      <w:color w:val="365F91" w:themeColor="accent1" w:themeShade="BF"/>
      <w:sz w:val="32"/>
      <w:szCs w:val="32"/>
    </w:rPr>
  </w:style>
  <w:style w:type="paragraph" w:styleId="af5">
    <w:name w:val="List Paragraph"/>
    <w:basedOn w:val="a0"/>
    <w:uiPriority w:val="34"/>
    <w:qFormat/>
    <w:rsid w:val="00FB0D1C"/>
    <w:pPr>
      <w:spacing w:after="160" w:line="259" w:lineRule="auto"/>
      <w:ind w:left="720" w:firstLine="0"/>
      <w:contextualSpacing/>
      <w:jc w:val="left"/>
    </w:pPr>
    <w:rPr>
      <w:rFonts w:asciiTheme="minorHAnsi" w:hAnsiTheme="minorHAnsi"/>
      <w:kern w:val="2"/>
    </w:rPr>
  </w:style>
  <w:style w:type="paragraph" w:styleId="af6">
    <w:name w:val="Normal (Web)"/>
    <w:basedOn w:val="a0"/>
    <w:uiPriority w:val="99"/>
    <w:unhideWhenUsed/>
    <w:rsid w:val="00FB0D1C"/>
    <w:pPr>
      <w:spacing w:before="100" w:beforeAutospacing="1" w:after="100" w:afterAutospacing="1"/>
      <w:ind w:firstLine="0"/>
      <w:jc w:val="left"/>
    </w:pPr>
    <w:rPr>
      <w:rFonts w:eastAsia="Times New Roman" w:cs="Times New Roman"/>
      <w:sz w:val="24"/>
      <w:szCs w:val="24"/>
      <w:lang w:val="ru-RU" w:eastAsia="ru-RU"/>
    </w:rPr>
  </w:style>
  <w:style w:type="character" w:styleId="af7">
    <w:name w:val="Strong"/>
    <w:basedOn w:val="a1"/>
    <w:uiPriority w:val="22"/>
    <w:qFormat/>
    <w:rsid w:val="00FB0D1C"/>
    <w:rPr>
      <w:b/>
      <w:bCs/>
    </w:rPr>
  </w:style>
  <w:style w:type="character" w:customStyle="1" w:styleId="af8">
    <w:name w:val="Основной текст Знак"/>
    <w:link w:val="af9"/>
    <w:uiPriority w:val="99"/>
    <w:rsid w:val="001119A4"/>
    <w:rPr>
      <w:rFonts w:eastAsia="Times New Roman"/>
      <w:sz w:val="24"/>
      <w:szCs w:val="24"/>
    </w:rPr>
  </w:style>
  <w:style w:type="paragraph" w:styleId="af9">
    <w:name w:val="Body Text"/>
    <w:basedOn w:val="a0"/>
    <w:link w:val="af8"/>
    <w:uiPriority w:val="99"/>
    <w:rsid w:val="001119A4"/>
    <w:pPr>
      <w:spacing w:after="120"/>
      <w:ind w:firstLine="0"/>
      <w:jc w:val="left"/>
    </w:pPr>
    <w:rPr>
      <w:rFonts w:eastAsia="Times New Roman"/>
      <w:sz w:val="24"/>
      <w:szCs w:val="24"/>
    </w:rPr>
  </w:style>
  <w:style w:type="character" w:customStyle="1" w:styleId="11">
    <w:name w:val="Основной текст Знак1"/>
    <w:basedOn w:val="a1"/>
    <w:uiPriority w:val="99"/>
    <w:semiHidden/>
    <w:rsid w:val="001119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96553">
      <w:bodyDiv w:val="1"/>
      <w:marLeft w:val="0"/>
      <w:marRight w:val="0"/>
      <w:marTop w:val="0"/>
      <w:marBottom w:val="0"/>
      <w:divBdr>
        <w:top w:val="none" w:sz="0" w:space="0" w:color="auto"/>
        <w:left w:val="none" w:sz="0" w:space="0" w:color="auto"/>
        <w:bottom w:val="none" w:sz="0" w:space="0" w:color="auto"/>
        <w:right w:val="none" w:sz="0" w:space="0" w:color="auto"/>
      </w:divBdr>
    </w:div>
    <w:div w:id="17775331">
      <w:bodyDiv w:val="1"/>
      <w:marLeft w:val="0"/>
      <w:marRight w:val="0"/>
      <w:marTop w:val="0"/>
      <w:marBottom w:val="0"/>
      <w:divBdr>
        <w:top w:val="none" w:sz="0" w:space="0" w:color="auto"/>
        <w:left w:val="none" w:sz="0" w:space="0" w:color="auto"/>
        <w:bottom w:val="none" w:sz="0" w:space="0" w:color="auto"/>
        <w:right w:val="none" w:sz="0" w:space="0" w:color="auto"/>
      </w:divBdr>
    </w:div>
    <w:div w:id="20054041">
      <w:bodyDiv w:val="1"/>
      <w:marLeft w:val="0"/>
      <w:marRight w:val="0"/>
      <w:marTop w:val="0"/>
      <w:marBottom w:val="0"/>
      <w:divBdr>
        <w:top w:val="none" w:sz="0" w:space="0" w:color="auto"/>
        <w:left w:val="none" w:sz="0" w:space="0" w:color="auto"/>
        <w:bottom w:val="none" w:sz="0" w:space="0" w:color="auto"/>
        <w:right w:val="none" w:sz="0" w:space="0" w:color="auto"/>
      </w:divBdr>
    </w:div>
    <w:div w:id="77598765">
      <w:bodyDiv w:val="1"/>
      <w:marLeft w:val="0"/>
      <w:marRight w:val="0"/>
      <w:marTop w:val="0"/>
      <w:marBottom w:val="0"/>
      <w:divBdr>
        <w:top w:val="none" w:sz="0" w:space="0" w:color="auto"/>
        <w:left w:val="none" w:sz="0" w:space="0" w:color="auto"/>
        <w:bottom w:val="none" w:sz="0" w:space="0" w:color="auto"/>
        <w:right w:val="none" w:sz="0" w:space="0" w:color="auto"/>
      </w:divBdr>
    </w:div>
    <w:div w:id="127863113">
      <w:bodyDiv w:val="1"/>
      <w:marLeft w:val="0"/>
      <w:marRight w:val="0"/>
      <w:marTop w:val="0"/>
      <w:marBottom w:val="0"/>
      <w:divBdr>
        <w:top w:val="none" w:sz="0" w:space="0" w:color="auto"/>
        <w:left w:val="none" w:sz="0" w:space="0" w:color="auto"/>
        <w:bottom w:val="none" w:sz="0" w:space="0" w:color="auto"/>
        <w:right w:val="none" w:sz="0" w:space="0" w:color="auto"/>
      </w:divBdr>
    </w:div>
    <w:div w:id="216093158">
      <w:bodyDiv w:val="1"/>
      <w:marLeft w:val="0"/>
      <w:marRight w:val="0"/>
      <w:marTop w:val="0"/>
      <w:marBottom w:val="0"/>
      <w:divBdr>
        <w:top w:val="none" w:sz="0" w:space="0" w:color="auto"/>
        <w:left w:val="none" w:sz="0" w:space="0" w:color="auto"/>
        <w:bottom w:val="none" w:sz="0" w:space="0" w:color="auto"/>
        <w:right w:val="none" w:sz="0" w:space="0" w:color="auto"/>
      </w:divBdr>
    </w:div>
    <w:div w:id="348870272">
      <w:bodyDiv w:val="1"/>
      <w:marLeft w:val="0"/>
      <w:marRight w:val="0"/>
      <w:marTop w:val="0"/>
      <w:marBottom w:val="0"/>
      <w:divBdr>
        <w:top w:val="none" w:sz="0" w:space="0" w:color="auto"/>
        <w:left w:val="none" w:sz="0" w:space="0" w:color="auto"/>
        <w:bottom w:val="none" w:sz="0" w:space="0" w:color="auto"/>
        <w:right w:val="none" w:sz="0" w:space="0" w:color="auto"/>
      </w:divBdr>
    </w:div>
    <w:div w:id="374089731">
      <w:bodyDiv w:val="1"/>
      <w:marLeft w:val="0"/>
      <w:marRight w:val="0"/>
      <w:marTop w:val="0"/>
      <w:marBottom w:val="0"/>
      <w:divBdr>
        <w:top w:val="none" w:sz="0" w:space="0" w:color="auto"/>
        <w:left w:val="none" w:sz="0" w:space="0" w:color="auto"/>
        <w:bottom w:val="none" w:sz="0" w:space="0" w:color="auto"/>
        <w:right w:val="none" w:sz="0" w:space="0" w:color="auto"/>
      </w:divBdr>
    </w:div>
    <w:div w:id="383143113">
      <w:bodyDiv w:val="1"/>
      <w:marLeft w:val="0"/>
      <w:marRight w:val="0"/>
      <w:marTop w:val="0"/>
      <w:marBottom w:val="0"/>
      <w:divBdr>
        <w:top w:val="none" w:sz="0" w:space="0" w:color="auto"/>
        <w:left w:val="none" w:sz="0" w:space="0" w:color="auto"/>
        <w:bottom w:val="none" w:sz="0" w:space="0" w:color="auto"/>
        <w:right w:val="none" w:sz="0" w:space="0" w:color="auto"/>
      </w:divBdr>
    </w:div>
    <w:div w:id="422840205">
      <w:bodyDiv w:val="1"/>
      <w:marLeft w:val="0"/>
      <w:marRight w:val="0"/>
      <w:marTop w:val="0"/>
      <w:marBottom w:val="0"/>
      <w:divBdr>
        <w:top w:val="none" w:sz="0" w:space="0" w:color="auto"/>
        <w:left w:val="none" w:sz="0" w:space="0" w:color="auto"/>
        <w:bottom w:val="none" w:sz="0" w:space="0" w:color="auto"/>
        <w:right w:val="none" w:sz="0" w:space="0" w:color="auto"/>
      </w:divBdr>
    </w:div>
    <w:div w:id="434011468">
      <w:bodyDiv w:val="1"/>
      <w:marLeft w:val="0"/>
      <w:marRight w:val="0"/>
      <w:marTop w:val="0"/>
      <w:marBottom w:val="0"/>
      <w:divBdr>
        <w:top w:val="none" w:sz="0" w:space="0" w:color="auto"/>
        <w:left w:val="none" w:sz="0" w:space="0" w:color="auto"/>
        <w:bottom w:val="none" w:sz="0" w:space="0" w:color="auto"/>
        <w:right w:val="none" w:sz="0" w:space="0" w:color="auto"/>
      </w:divBdr>
    </w:div>
    <w:div w:id="474614017">
      <w:bodyDiv w:val="1"/>
      <w:marLeft w:val="0"/>
      <w:marRight w:val="0"/>
      <w:marTop w:val="0"/>
      <w:marBottom w:val="0"/>
      <w:divBdr>
        <w:top w:val="none" w:sz="0" w:space="0" w:color="auto"/>
        <w:left w:val="none" w:sz="0" w:space="0" w:color="auto"/>
        <w:bottom w:val="none" w:sz="0" w:space="0" w:color="auto"/>
        <w:right w:val="none" w:sz="0" w:space="0" w:color="auto"/>
      </w:divBdr>
    </w:div>
    <w:div w:id="477576013">
      <w:bodyDiv w:val="1"/>
      <w:marLeft w:val="0"/>
      <w:marRight w:val="0"/>
      <w:marTop w:val="0"/>
      <w:marBottom w:val="0"/>
      <w:divBdr>
        <w:top w:val="none" w:sz="0" w:space="0" w:color="auto"/>
        <w:left w:val="none" w:sz="0" w:space="0" w:color="auto"/>
        <w:bottom w:val="none" w:sz="0" w:space="0" w:color="auto"/>
        <w:right w:val="none" w:sz="0" w:space="0" w:color="auto"/>
      </w:divBdr>
    </w:div>
    <w:div w:id="541285924">
      <w:bodyDiv w:val="1"/>
      <w:marLeft w:val="0"/>
      <w:marRight w:val="0"/>
      <w:marTop w:val="0"/>
      <w:marBottom w:val="0"/>
      <w:divBdr>
        <w:top w:val="none" w:sz="0" w:space="0" w:color="auto"/>
        <w:left w:val="none" w:sz="0" w:space="0" w:color="auto"/>
        <w:bottom w:val="none" w:sz="0" w:space="0" w:color="auto"/>
        <w:right w:val="none" w:sz="0" w:space="0" w:color="auto"/>
      </w:divBdr>
    </w:div>
    <w:div w:id="576673361">
      <w:bodyDiv w:val="1"/>
      <w:marLeft w:val="0"/>
      <w:marRight w:val="0"/>
      <w:marTop w:val="0"/>
      <w:marBottom w:val="0"/>
      <w:divBdr>
        <w:top w:val="none" w:sz="0" w:space="0" w:color="auto"/>
        <w:left w:val="none" w:sz="0" w:space="0" w:color="auto"/>
        <w:bottom w:val="none" w:sz="0" w:space="0" w:color="auto"/>
        <w:right w:val="none" w:sz="0" w:space="0" w:color="auto"/>
      </w:divBdr>
    </w:div>
    <w:div w:id="589847457">
      <w:bodyDiv w:val="1"/>
      <w:marLeft w:val="0"/>
      <w:marRight w:val="0"/>
      <w:marTop w:val="0"/>
      <w:marBottom w:val="0"/>
      <w:divBdr>
        <w:top w:val="none" w:sz="0" w:space="0" w:color="auto"/>
        <w:left w:val="none" w:sz="0" w:space="0" w:color="auto"/>
        <w:bottom w:val="none" w:sz="0" w:space="0" w:color="auto"/>
        <w:right w:val="none" w:sz="0" w:space="0" w:color="auto"/>
      </w:divBdr>
    </w:div>
    <w:div w:id="603194458">
      <w:bodyDiv w:val="1"/>
      <w:marLeft w:val="0"/>
      <w:marRight w:val="0"/>
      <w:marTop w:val="0"/>
      <w:marBottom w:val="0"/>
      <w:divBdr>
        <w:top w:val="none" w:sz="0" w:space="0" w:color="auto"/>
        <w:left w:val="none" w:sz="0" w:space="0" w:color="auto"/>
        <w:bottom w:val="none" w:sz="0" w:space="0" w:color="auto"/>
        <w:right w:val="none" w:sz="0" w:space="0" w:color="auto"/>
      </w:divBdr>
    </w:div>
    <w:div w:id="737747630">
      <w:bodyDiv w:val="1"/>
      <w:marLeft w:val="0"/>
      <w:marRight w:val="0"/>
      <w:marTop w:val="0"/>
      <w:marBottom w:val="0"/>
      <w:divBdr>
        <w:top w:val="none" w:sz="0" w:space="0" w:color="auto"/>
        <w:left w:val="none" w:sz="0" w:space="0" w:color="auto"/>
        <w:bottom w:val="none" w:sz="0" w:space="0" w:color="auto"/>
        <w:right w:val="none" w:sz="0" w:space="0" w:color="auto"/>
      </w:divBdr>
    </w:div>
    <w:div w:id="749278457">
      <w:bodyDiv w:val="1"/>
      <w:marLeft w:val="0"/>
      <w:marRight w:val="0"/>
      <w:marTop w:val="0"/>
      <w:marBottom w:val="0"/>
      <w:divBdr>
        <w:top w:val="none" w:sz="0" w:space="0" w:color="auto"/>
        <w:left w:val="none" w:sz="0" w:space="0" w:color="auto"/>
        <w:bottom w:val="none" w:sz="0" w:space="0" w:color="auto"/>
        <w:right w:val="none" w:sz="0" w:space="0" w:color="auto"/>
      </w:divBdr>
    </w:div>
    <w:div w:id="753285067">
      <w:bodyDiv w:val="1"/>
      <w:marLeft w:val="0"/>
      <w:marRight w:val="0"/>
      <w:marTop w:val="0"/>
      <w:marBottom w:val="0"/>
      <w:divBdr>
        <w:top w:val="none" w:sz="0" w:space="0" w:color="auto"/>
        <w:left w:val="none" w:sz="0" w:space="0" w:color="auto"/>
        <w:bottom w:val="none" w:sz="0" w:space="0" w:color="auto"/>
        <w:right w:val="none" w:sz="0" w:space="0" w:color="auto"/>
      </w:divBdr>
    </w:div>
    <w:div w:id="834347656">
      <w:bodyDiv w:val="1"/>
      <w:marLeft w:val="0"/>
      <w:marRight w:val="0"/>
      <w:marTop w:val="0"/>
      <w:marBottom w:val="0"/>
      <w:divBdr>
        <w:top w:val="none" w:sz="0" w:space="0" w:color="auto"/>
        <w:left w:val="none" w:sz="0" w:space="0" w:color="auto"/>
        <w:bottom w:val="none" w:sz="0" w:space="0" w:color="auto"/>
        <w:right w:val="none" w:sz="0" w:space="0" w:color="auto"/>
      </w:divBdr>
    </w:div>
    <w:div w:id="929778019">
      <w:bodyDiv w:val="1"/>
      <w:marLeft w:val="0"/>
      <w:marRight w:val="0"/>
      <w:marTop w:val="0"/>
      <w:marBottom w:val="0"/>
      <w:divBdr>
        <w:top w:val="none" w:sz="0" w:space="0" w:color="auto"/>
        <w:left w:val="none" w:sz="0" w:space="0" w:color="auto"/>
        <w:bottom w:val="none" w:sz="0" w:space="0" w:color="auto"/>
        <w:right w:val="none" w:sz="0" w:space="0" w:color="auto"/>
      </w:divBdr>
    </w:div>
    <w:div w:id="931359296">
      <w:bodyDiv w:val="1"/>
      <w:marLeft w:val="0"/>
      <w:marRight w:val="0"/>
      <w:marTop w:val="0"/>
      <w:marBottom w:val="0"/>
      <w:divBdr>
        <w:top w:val="none" w:sz="0" w:space="0" w:color="auto"/>
        <w:left w:val="none" w:sz="0" w:space="0" w:color="auto"/>
        <w:bottom w:val="none" w:sz="0" w:space="0" w:color="auto"/>
        <w:right w:val="none" w:sz="0" w:space="0" w:color="auto"/>
      </w:divBdr>
    </w:div>
    <w:div w:id="946237641">
      <w:bodyDiv w:val="1"/>
      <w:marLeft w:val="0"/>
      <w:marRight w:val="0"/>
      <w:marTop w:val="0"/>
      <w:marBottom w:val="0"/>
      <w:divBdr>
        <w:top w:val="none" w:sz="0" w:space="0" w:color="auto"/>
        <w:left w:val="none" w:sz="0" w:space="0" w:color="auto"/>
        <w:bottom w:val="none" w:sz="0" w:space="0" w:color="auto"/>
        <w:right w:val="none" w:sz="0" w:space="0" w:color="auto"/>
      </w:divBdr>
    </w:div>
    <w:div w:id="955910275">
      <w:bodyDiv w:val="1"/>
      <w:marLeft w:val="0"/>
      <w:marRight w:val="0"/>
      <w:marTop w:val="0"/>
      <w:marBottom w:val="0"/>
      <w:divBdr>
        <w:top w:val="none" w:sz="0" w:space="0" w:color="auto"/>
        <w:left w:val="none" w:sz="0" w:space="0" w:color="auto"/>
        <w:bottom w:val="none" w:sz="0" w:space="0" w:color="auto"/>
        <w:right w:val="none" w:sz="0" w:space="0" w:color="auto"/>
      </w:divBdr>
    </w:div>
    <w:div w:id="1000815371">
      <w:bodyDiv w:val="1"/>
      <w:marLeft w:val="0"/>
      <w:marRight w:val="0"/>
      <w:marTop w:val="0"/>
      <w:marBottom w:val="0"/>
      <w:divBdr>
        <w:top w:val="none" w:sz="0" w:space="0" w:color="auto"/>
        <w:left w:val="none" w:sz="0" w:space="0" w:color="auto"/>
        <w:bottom w:val="none" w:sz="0" w:space="0" w:color="auto"/>
        <w:right w:val="none" w:sz="0" w:space="0" w:color="auto"/>
      </w:divBdr>
    </w:div>
    <w:div w:id="1005593094">
      <w:bodyDiv w:val="1"/>
      <w:marLeft w:val="0"/>
      <w:marRight w:val="0"/>
      <w:marTop w:val="0"/>
      <w:marBottom w:val="0"/>
      <w:divBdr>
        <w:top w:val="none" w:sz="0" w:space="0" w:color="auto"/>
        <w:left w:val="none" w:sz="0" w:space="0" w:color="auto"/>
        <w:bottom w:val="none" w:sz="0" w:space="0" w:color="auto"/>
        <w:right w:val="none" w:sz="0" w:space="0" w:color="auto"/>
      </w:divBdr>
    </w:div>
    <w:div w:id="1016880526">
      <w:bodyDiv w:val="1"/>
      <w:marLeft w:val="0"/>
      <w:marRight w:val="0"/>
      <w:marTop w:val="0"/>
      <w:marBottom w:val="0"/>
      <w:divBdr>
        <w:top w:val="none" w:sz="0" w:space="0" w:color="auto"/>
        <w:left w:val="none" w:sz="0" w:space="0" w:color="auto"/>
        <w:bottom w:val="none" w:sz="0" w:space="0" w:color="auto"/>
        <w:right w:val="none" w:sz="0" w:space="0" w:color="auto"/>
      </w:divBdr>
    </w:div>
    <w:div w:id="1046838405">
      <w:bodyDiv w:val="1"/>
      <w:marLeft w:val="0"/>
      <w:marRight w:val="0"/>
      <w:marTop w:val="0"/>
      <w:marBottom w:val="0"/>
      <w:divBdr>
        <w:top w:val="none" w:sz="0" w:space="0" w:color="auto"/>
        <w:left w:val="none" w:sz="0" w:space="0" w:color="auto"/>
        <w:bottom w:val="none" w:sz="0" w:space="0" w:color="auto"/>
        <w:right w:val="none" w:sz="0" w:space="0" w:color="auto"/>
      </w:divBdr>
    </w:div>
    <w:div w:id="1087192577">
      <w:bodyDiv w:val="1"/>
      <w:marLeft w:val="0"/>
      <w:marRight w:val="0"/>
      <w:marTop w:val="0"/>
      <w:marBottom w:val="0"/>
      <w:divBdr>
        <w:top w:val="none" w:sz="0" w:space="0" w:color="auto"/>
        <w:left w:val="none" w:sz="0" w:space="0" w:color="auto"/>
        <w:bottom w:val="none" w:sz="0" w:space="0" w:color="auto"/>
        <w:right w:val="none" w:sz="0" w:space="0" w:color="auto"/>
      </w:divBdr>
    </w:div>
    <w:div w:id="1105273670">
      <w:bodyDiv w:val="1"/>
      <w:marLeft w:val="0"/>
      <w:marRight w:val="0"/>
      <w:marTop w:val="0"/>
      <w:marBottom w:val="0"/>
      <w:divBdr>
        <w:top w:val="none" w:sz="0" w:space="0" w:color="auto"/>
        <w:left w:val="none" w:sz="0" w:space="0" w:color="auto"/>
        <w:bottom w:val="none" w:sz="0" w:space="0" w:color="auto"/>
        <w:right w:val="none" w:sz="0" w:space="0" w:color="auto"/>
      </w:divBdr>
    </w:div>
    <w:div w:id="1147472407">
      <w:bodyDiv w:val="1"/>
      <w:marLeft w:val="0"/>
      <w:marRight w:val="0"/>
      <w:marTop w:val="0"/>
      <w:marBottom w:val="0"/>
      <w:divBdr>
        <w:top w:val="none" w:sz="0" w:space="0" w:color="auto"/>
        <w:left w:val="none" w:sz="0" w:space="0" w:color="auto"/>
        <w:bottom w:val="none" w:sz="0" w:space="0" w:color="auto"/>
        <w:right w:val="none" w:sz="0" w:space="0" w:color="auto"/>
      </w:divBdr>
    </w:div>
    <w:div w:id="1162626321">
      <w:bodyDiv w:val="1"/>
      <w:marLeft w:val="0"/>
      <w:marRight w:val="0"/>
      <w:marTop w:val="0"/>
      <w:marBottom w:val="0"/>
      <w:divBdr>
        <w:top w:val="none" w:sz="0" w:space="0" w:color="auto"/>
        <w:left w:val="none" w:sz="0" w:space="0" w:color="auto"/>
        <w:bottom w:val="none" w:sz="0" w:space="0" w:color="auto"/>
        <w:right w:val="none" w:sz="0" w:space="0" w:color="auto"/>
      </w:divBdr>
    </w:div>
    <w:div w:id="1169827172">
      <w:bodyDiv w:val="1"/>
      <w:marLeft w:val="0"/>
      <w:marRight w:val="0"/>
      <w:marTop w:val="0"/>
      <w:marBottom w:val="0"/>
      <w:divBdr>
        <w:top w:val="none" w:sz="0" w:space="0" w:color="auto"/>
        <w:left w:val="none" w:sz="0" w:space="0" w:color="auto"/>
        <w:bottom w:val="none" w:sz="0" w:space="0" w:color="auto"/>
        <w:right w:val="none" w:sz="0" w:space="0" w:color="auto"/>
      </w:divBdr>
    </w:div>
    <w:div w:id="1232424582">
      <w:bodyDiv w:val="1"/>
      <w:marLeft w:val="0"/>
      <w:marRight w:val="0"/>
      <w:marTop w:val="0"/>
      <w:marBottom w:val="0"/>
      <w:divBdr>
        <w:top w:val="none" w:sz="0" w:space="0" w:color="auto"/>
        <w:left w:val="none" w:sz="0" w:space="0" w:color="auto"/>
        <w:bottom w:val="none" w:sz="0" w:space="0" w:color="auto"/>
        <w:right w:val="none" w:sz="0" w:space="0" w:color="auto"/>
      </w:divBdr>
    </w:div>
    <w:div w:id="1241714704">
      <w:bodyDiv w:val="1"/>
      <w:marLeft w:val="0"/>
      <w:marRight w:val="0"/>
      <w:marTop w:val="0"/>
      <w:marBottom w:val="0"/>
      <w:divBdr>
        <w:top w:val="none" w:sz="0" w:space="0" w:color="auto"/>
        <w:left w:val="none" w:sz="0" w:space="0" w:color="auto"/>
        <w:bottom w:val="none" w:sz="0" w:space="0" w:color="auto"/>
        <w:right w:val="none" w:sz="0" w:space="0" w:color="auto"/>
      </w:divBdr>
    </w:div>
    <w:div w:id="1320693909">
      <w:bodyDiv w:val="1"/>
      <w:marLeft w:val="0"/>
      <w:marRight w:val="0"/>
      <w:marTop w:val="0"/>
      <w:marBottom w:val="0"/>
      <w:divBdr>
        <w:top w:val="none" w:sz="0" w:space="0" w:color="auto"/>
        <w:left w:val="none" w:sz="0" w:space="0" w:color="auto"/>
        <w:bottom w:val="none" w:sz="0" w:space="0" w:color="auto"/>
        <w:right w:val="none" w:sz="0" w:space="0" w:color="auto"/>
      </w:divBdr>
    </w:div>
    <w:div w:id="1324040937">
      <w:bodyDiv w:val="1"/>
      <w:marLeft w:val="0"/>
      <w:marRight w:val="0"/>
      <w:marTop w:val="0"/>
      <w:marBottom w:val="0"/>
      <w:divBdr>
        <w:top w:val="none" w:sz="0" w:space="0" w:color="auto"/>
        <w:left w:val="none" w:sz="0" w:space="0" w:color="auto"/>
        <w:bottom w:val="none" w:sz="0" w:space="0" w:color="auto"/>
        <w:right w:val="none" w:sz="0" w:space="0" w:color="auto"/>
      </w:divBdr>
    </w:div>
    <w:div w:id="1328484257">
      <w:bodyDiv w:val="1"/>
      <w:marLeft w:val="0"/>
      <w:marRight w:val="0"/>
      <w:marTop w:val="0"/>
      <w:marBottom w:val="0"/>
      <w:divBdr>
        <w:top w:val="none" w:sz="0" w:space="0" w:color="auto"/>
        <w:left w:val="none" w:sz="0" w:space="0" w:color="auto"/>
        <w:bottom w:val="none" w:sz="0" w:space="0" w:color="auto"/>
        <w:right w:val="none" w:sz="0" w:space="0" w:color="auto"/>
      </w:divBdr>
    </w:div>
    <w:div w:id="1386101395">
      <w:bodyDiv w:val="1"/>
      <w:marLeft w:val="0"/>
      <w:marRight w:val="0"/>
      <w:marTop w:val="0"/>
      <w:marBottom w:val="0"/>
      <w:divBdr>
        <w:top w:val="none" w:sz="0" w:space="0" w:color="auto"/>
        <w:left w:val="none" w:sz="0" w:space="0" w:color="auto"/>
        <w:bottom w:val="none" w:sz="0" w:space="0" w:color="auto"/>
        <w:right w:val="none" w:sz="0" w:space="0" w:color="auto"/>
      </w:divBdr>
    </w:div>
    <w:div w:id="1399284247">
      <w:bodyDiv w:val="1"/>
      <w:marLeft w:val="0"/>
      <w:marRight w:val="0"/>
      <w:marTop w:val="0"/>
      <w:marBottom w:val="0"/>
      <w:divBdr>
        <w:top w:val="none" w:sz="0" w:space="0" w:color="auto"/>
        <w:left w:val="none" w:sz="0" w:space="0" w:color="auto"/>
        <w:bottom w:val="none" w:sz="0" w:space="0" w:color="auto"/>
        <w:right w:val="none" w:sz="0" w:space="0" w:color="auto"/>
      </w:divBdr>
    </w:div>
    <w:div w:id="1404183028">
      <w:bodyDiv w:val="1"/>
      <w:marLeft w:val="0"/>
      <w:marRight w:val="0"/>
      <w:marTop w:val="0"/>
      <w:marBottom w:val="0"/>
      <w:divBdr>
        <w:top w:val="none" w:sz="0" w:space="0" w:color="auto"/>
        <w:left w:val="none" w:sz="0" w:space="0" w:color="auto"/>
        <w:bottom w:val="none" w:sz="0" w:space="0" w:color="auto"/>
        <w:right w:val="none" w:sz="0" w:space="0" w:color="auto"/>
      </w:divBdr>
    </w:div>
    <w:div w:id="1436906823">
      <w:bodyDiv w:val="1"/>
      <w:marLeft w:val="0"/>
      <w:marRight w:val="0"/>
      <w:marTop w:val="0"/>
      <w:marBottom w:val="0"/>
      <w:divBdr>
        <w:top w:val="none" w:sz="0" w:space="0" w:color="auto"/>
        <w:left w:val="none" w:sz="0" w:space="0" w:color="auto"/>
        <w:bottom w:val="none" w:sz="0" w:space="0" w:color="auto"/>
        <w:right w:val="none" w:sz="0" w:space="0" w:color="auto"/>
      </w:divBdr>
    </w:div>
    <w:div w:id="1454784818">
      <w:bodyDiv w:val="1"/>
      <w:marLeft w:val="0"/>
      <w:marRight w:val="0"/>
      <w:marTop w:val="0"/>
      <w:marBottom w:val="0"/>
      <w:divBdr>
        <w:top w:val="none" w:sz="0" w:space="0" w:color="auto"/>
        <w:left w:val="none" w:sz="0" w:space="0" w:color="auto"/>
        <w:bottom w:val="none" w:sz="0" w:space="0" w:color="auto"/>
        <w:right w:val="none" w:sz="0" w:space="0" w:color="auto"/>
      </w:divBdr>
    </w:div>
    <w:div w:id="1483346490">
      <w:bodyDiv w:val="1"/>
      <w:marLeft w:val="0"/>
      <w:marRight w:val="0"/>
      <w:marTop w:val="0"/>
      <w:marBottom w:val="0"/>
      <w:divBdr>
        <w:top w:val="none" w:sz="0" w:space="0" w:color="auto"/>
        <w:left w:val="none" w:sz="0" w:space="0" w:color="auto"/>
        <w:bottom w:val="none" w:sz="0" w:space="0" w:color="auto"/>
        <w:right w:val="none" w:sz="0" w:space="0" w:color="auto"/>
      </w:divBdr>
    </w:div>
    <w:div w:id="1608199489">
      <w:bodyDiv w:val="1"/>
      <w:marLeft w:val="0"/>
      <w:marRight w:val="0"/>
      <w:marTop w:val="0"/>
      <w:marBottom w:val="0"/>
      <w:divBdr>
        <w:top w:val="none" w:sz="0" w:space="0" w:color="auto"/>
        <w:left w:val="none" w:sz="0" w:space="0" w:color="auto"/>
        <w:bottom w:val="none" w:sz="0" w:space="0" w:color="auto"/>
        <w:right w:val="none" w:sz="0" w:space="0" w:color="auto"/>
      </w:divBdr>
    </w:div>
    <w:div w:id="1719206955">
      <w:bodyDiv w:val="1"/>
      <w:marLeft w:val="0"/>
      <w:marRight w:val="0"/>
      <w:marTop w:val="0"/>
      <w:marBottom w:val="0"/>
      <w:divBdr>
        <w:top w:val="none" w:sz="0" w:space="0" w:color="auto"/>
        <w:left w:val="none" w:sz="0" w:space="0" w:color="auto"/>
        <w:bottom w:val="none" w:sz="0" w:space="0" w:color="auto"/>
        <w:right w:val="none" w:sz="0" w:space="0" w:color="auto"/>
      </w:divBdr>
    </w:div>
    <w:div w:id="1768230214">
      <w:bodyDiv w:val="1"/>
      <w:marLeft w:val="0"/>
      <w:marRight w:val="0"/>
      <w:marTop w:val="0"/>
      <w:marBottom w:val="0"/>
      <w:divBdr>
        <w:top w:val="none" w:sz="0" w:space="0" w:color="auto"/>
        <w:left w:val="none" w:sz="0" w:space="0" w:color="auto"/>
        <w:bottom w:val="none" w:sz="0" w:space="0" w:color="auto"/>
        <w:right w:val="none" w:sz="0" w:space="0" w:color="auto"/>
      </w:divBdr>
    </w:div>
    <w:div w:id="1814566806">
      <w:bodyDiv w:val="1"/>
      <w:marLeft w:val="0"/>
      <w:marRight w:val="0"/>
      <w:marTop w:val="0"/>
      <w:marBottom w:val="0"/>
      <w:divBdr>
        <w:top w:val="none" w:sz="0" w:space="0" w:color="auto"/>
        <w:left w:val="none" w:sz="0" w:space="0" w:color="auto"/>
        <w:bottom w:val="none" w:sz="0" w:space="0" w:color="auto"/>
        <w:right w:val="none" w:sz="0" w:space="0" w:color="auto"/>
      </w:divBdr>
    </w:div>
    <w:div w:id="1924102980">
      <w:bodyDiv w:val="1"/>
      <w:marLeft w:val="0"/>
      <w:marRight w:val="0"/>
      <w:marTop w:val="0"/>
      <w:marBottom w:val="0"/>
      <w:divBdr>
        <w:top w:val="none" w:sz="0" w:space="0" w:color="auto"/>
        <w:left w:val="none" w:sz="0" w:space="0" w:color="auto"/>
        <w:bottom w:val="none" w:sz="0" w:space="0" w:color="auto"/>
        <w:right w:val="none" w:sz="0" w:space="0" w:color="auto"/>
      </w:divBdr>
    </w:div>
    <w:div w:id="1958441301">
      <w:bodyDiv w:val="1"/>
      <w:marLeft w:val="0"/>
      <w:marRight w:val="0"/>
      <w:marTop w:val="0"/>
      <w:marBottom w:val="0"/>
      <w:divBdr>
        <w:top w:val="none" w:sz="0" w:space="0" w:color="auto"/>
        <w:left w:val="none" w:sz="0" w:space="0" w:color="auto"/>
        <w:bottom w:val="none" w:sz="0" w:space="0" w:color="auto"/>
        <w:right w:val="none" w:sz="0" w:space="0" w:color="auto"/>
      </w:divBdr>
    </w:div>
    <w:div w:id="1966349898">
      <w:bodyDiv w:val="1"/>
      <w:marLeft w:val="0"/>
      <w:marRight w:val="0"/>
      <w:marTop w:val="0"/>
      <w:marBottom w:val="0"/>
      <w:divBdr>
        <w:top w:val="none" w:sz="0" w:space="0" w:color="auto"/>
        <w:left w:val="none" w:sz="0" w:space="0" w:color="auto"/>
        <w:bottom w:val="none" w:sz="0" w:space="0" w:color="auto"/>
        <w:right w:val="none" w:sz="0" w:space="0" w:color="auto"/>
      </w:divBdr>
    </w:div>
    <w:div w:id="2045135345">
      <w:bodyDiv w:val="1"/>
      <w:marLeft w:val="0"/>
      <w:marRight w:val="0"/>
      <w:marTop w:val="0"/>
      <w:marBottom w:val="0"/>
      <w:divBdr>
        <w:top w:val="none" w:sz="0" w:space="0" w:color="auto"/>
        <w:left w:val="none" w:sz="0" w:space="0" w:color="auto"/>
        <w:bottom w:val="none" w:sz="0" w:space="0" w:color="auto"/>
        <w:right w:val="none" w:sz="0" w:space="0" w:color="auto"/>
      </w:divBdr>
    </w:div>
    <w:div w:id="2076317346">
      <w:bodyDiv w:val="1"/>
      <w:marLeft w:val="0"/>
      <w:marRight w:val="0"/>
      <w:marTop w:val="0"/>
      <w:marBottom w:val="0"/>
      <w:divBdr>
        <w:top w:val="none" w:sz="0" w:space="0" w:color="auto"/>
        <w:left w:val="none" w:sz="0" w:space="0" w:color="auto"/>
        <w:bottom w:val="none" w:sz="0" w:space="0" w:color="auto"/>
        <w:right w:val="none" w:sz="0" w:space="0" w:color="auto"/>
      </w:divBdr>
    </w:div>
    <w:div w:id="2119131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chart" Target="charts/chart3.xml"/><Relationship Id="rId21" Type="http://schemas.openxmlformats.org/officeDocument/2006/relationships/image" Target="media/image12.png"/><Relationship Id="rId34" Type="http://schemas.openxmlformats.org/officeDocument/2006/relationships/chart" Target="charts/chart6.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oleObject" Target="embeddings/oleObject2.bin"/><Relationship Id="rId33" Type="http://schemas.openxmlformats.org/officeDocument/2006/relationships/chart" Target="charts/chart5.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image" Target="media/image14.wmf"/><Relationship Id="rId32" Type="http://schemas.openxmlformats.org/officeDocument/2006/relationships/image" Target="media/image19.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oleObject" Target="embeddings/oleObject1.bin"/><Relationship Id="rId28" Type="http://schemas.openxmlformats.org/officeDocument/2006/relationships/image" Target="media/image16.png"/><Relationship Id="rId36" Type="http://schemas.openxmlformats.org/officeDocument/2006/relationships/fontTable" Target="fontTable.xml"/><Relationship Id="rId10" Type="http://schemas.openxmlformats.org/officeDocument/2006/relationships/chart" Target="charts/chart1.xml"/><Relationship Id="rId19" Type="http://schemas.openxmlformats.org/officeDocument/2006/relationships/image" Target="media/image10.png"/><Relationship Id="rId31"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wmf"/><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chart" Target="charts/chart7.xml"/><Relationship Id="rId8" Type="http://schemas.openxmlformats.org/officeDocument/2006/relationships/image" Target="media/image1.tiff"/><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embeddings/oleObject3.bin"/><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1" Type="http://schemas.openxmlformats.org/officeDocument/2006/relationships/oleObject" Target="../embeddings/oleObject4.bin"/></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embeddings/oleObject5.bin"/></Relationships>
</file>

<file path=word/charts/_rels/chart6.xml.rels><?xml version="1.0" encoding="UTF-8" standalone="yes"?>
<Relationships xmlns="http://schemas.openxmlformats.org/package/2006/relationships"><Relationship Id="rId1" Type="http://schemas.openxmlformats.org/officeDocument/2006/relationships/oleObject" Target="../embeddings/oleObject6.bin"/></Relationships>
</file>

<file path=word/charts/_rels/chart7.xml.rels><?xml version="1.0" encoding="UTF-8" standalone="yes"?>
<Relationships xmlns="http://schemas.openxmlformats.org/package/2006/relationships"><Relationship Id="rId1" Type="http://schemas.openxmlformats.org/officeDocument/2006/relationships/oleObject" Target="../embeddings/oleObject7.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8140142395534911"/>
          <c:y val="4.8458149779735685E-2"/>
          <c:w val="0.77754642460782564"/>
          <c:h val="0.80033646675222836"/>
        </c:manualLayout>
      </c:layout>
      <c:scatterChart>
        <c:scatterStyle val="lineMarker"/>
        <c:varyColors val="0"/>
        <c:ser>
          <c:idx val="2"/>
          <c:order val="0"/>
          <c:tx>
            <c:v>PAN</c:v>
          </c:tx>
          <c:spPr>
            <a:ln w="15875" cap="rnd">
              <a:solidFill>
                <a:schemeClr val="accent3">
                  <a:alpha val="50000"/>
                </a:schemeClr>
              </a:solidFill>
              <a:round/>
            </a:ln>
            <a:effectLst/>
          </c:spPr>
          <c:marker>
            <c:symbol val="triangle"/>
            <c:size val="6"/>
            <c:spPr>
              <a:solidFill>
                <a:schemeClr val="lt1"/>
              </a:solidFill>
              <a:ln w="15875">
                <a:solidFill>
                  <a:schemeClr val="accent3"/>
                </a:solidFill>
                <a:round/>
              </a:ln>
              <a:effectLst/>
            </c:spPr>
          </c:marker>
          <c:xVal>
            <c:numRef>
              <c:f>Лист1!$F$21:$F$29</c:f>
              <c:numCache>
                <c:formatCode>General</c:formatCode>
                <c:ptCount val="9"/>
                <c:pt idx="0">
                  <c:v>0</c:v>
                </c:pt>
                <c:pt idx="1">
                  <c:v>0.15</c:v>
                </c:pt>
                <c:pt idx="2">
                  <c:v>0.25</c:v>
                </c:pt>
                <c:pt idx="3">
                  <c:v>0.35</c:v>
                </c:pt>
                <c:pt idx="4">
                  <c:v>0.5</c:v>
                </c:pt>
                <c:pt idx="5">
                  <c:v>0.68</c:v>
                </c:pt>
                <c:pt idx="6">
                  <c:v>0.79</c:v>
                </c:pt>
                <c:pt idx="7">
                  <c:v>0.95</c:v>
                </c:pt>
                <c:pt idx="8">
                  <c:v>0.99</c:v>
                </c:pt>
              </c:numCache>
            </c:numRef>
          </c:xVal>
          <c:yVal>
            <c:numRef>
              <c:f>Лист1!$G$21:$G$29</c:f>
              <c:numCache>
                <c:formatCode>General</c:formatCode>
                <c:ptCount val="9"/>
                <c:pt idx="0">
                  <c:v>0</c:v>
                </c:pt>
                <c:pt idx="1">
                  <c:v>3.0000000000000001E-3</c:v>
                </c:pt>
                <c:pt idx="2">
                  <c:v>3.2000000000000002E-3</c:v>
                </c:pt>
                <c:pt idx="3">
                  <c:v>3.2000000000000002E-3</c:v>
                </c:pt>
                <c:pt idx="4">
                  <c:v>4.0000000000000001E-3</c:v>
                </c:pt>
                <c:pt idx="5">
                  <c:v>5.0000000000000001E-3</c:v>
                </c:pt>
                <c:pt idx="6">
                  <c:v>6.4999999999999997E-3</c:v>
                </c:pt>
                <c:pt idx="7">
                  <c:v>1.2E-2</c:v>
                </c:pt>
                <c:pt idx="8">
                  <c:v>1.4E-2</c:v>
                </c:pt>
              </c:numCache>
            </c:numRef>
          </c:yVal>
          <c:smooth val="1"/>
          <c:extLst>
            <c:ext xmlns:c16="http://schemas.microsoft.com/office/drawing/2014/chart" uri="{C3380CC4-5D6E-409C-BE32-E72D297353CC}">
              <c16:uniqueId val="{00000000-1DD0-4AFB-97BA-E715E3B14621}"/>
            </c:ext>
          </c:extLst>
        </c:ser>
        <c:ser>
          <c:idx val="0"/>
          <c:order val="1"/>
          <c:tx>
            <c:v>Silica</c:v>
          </c:tx>
          <c:spPr>
            <a:ln w="15875" cap="rnd">
              <a:solidFill>
                <a:schemeClr val="accent1">
                  <a:alpha val="50000"/>
                </a:schemeClr>
              </a:solidFill>
              <a:round/>
            </a:ln>
            <a:effectLst/>
          </c:spPr>
          <c:marker>
            <c:symbol val="diamond"/>
            <c:size val="6"/>
            <c:spPr>
              <a:solidFill>
                <a:schemeClr val="lt1"/>
              </a:solidFill>
              <a:ln w="15875">
                <a:solidFill>
                  <a:schemeClr val="accent1"/>
                </a:solidFill>
                <a:round/>
              </a:ln>
              <a:effectLst/>
            </c:spPr>
          </c:marker>
          <c:xVal>
            <c:numRef>
              <c:f>Лист1!$F$10:$F$18</c:f>
              <c:numCache>
                <c:formatCode>General</c:formatCode>
                <c:ptCount val="9"/>
                <c:pt idx="0">
                  <c:v>0</c:v>
                </c:pt>
                <c:pt idx="1">
                  <c:v>0.14000000000000001</c:v>
                </c:pt>
                <c:pt idx="2">
                  <c:v>0.28000000000000003</c:v>
                </c:pt>
                <c:pt idx="3">
                  <c:v>0.36</c:v>
                </c:pt>
                <c:pt idx="4">
                  <c:v>0.56999999999999995</c:v>
                </c:pt>
                <c:pt idx="5">
                  <c:v>0.7</c:v>
                </c:pt>
                <c:pt idx="6">
                  <c:v>0.85</c:v>
                </c:pt>
                <c:pt idx="7">
                  <c:v>0.95</c:v>
                </c:pt>
                <c:pt idx="8">
                  <c:v>0.99</c:v>
                </c:pt>
              </c:numCache>
            </c:numRef>
          </c:xVal>
          <c:yVal>
            <c:numRef>
              <c:f>Лист1!$G$10:$G$18</c:f>
              <c:numCache>
                <c:formatCode>General</c:formatCode>
                <c:ptCount val="9"/>
                <c:pt idx="0">
                  <c:v>0</c:v>
                </c:pt>
                <c:pt idx="1">
                  <c:v>7.0000000000000001E-3</c:v>
                </c:pt>
                <c:pt idx="2">
                  <c:v>8.5000000000000006E-3</c:v>
                </c:pt>
                <c:pt idx="3">
                  <c:v>0.01</c:v>
                </c:pt>
                <c:pt idx="4">
                  <c:v>2.4E-2</c:v>
                </c:pt>
                <c:pt idx="5">
                  <c:v>4.2000000000000003E-2</c:v>
                </c:pt>
                <c:pt idx="6">
                  <c:v>7.5999999999999998E-2</c:v>
                </c:pt>
                <c:pt idx="7">
                  <c:v>0.122</c:v>
                </c:pt>
                <c:pt idx="8">
                  <c:v>0.13800000000000001</c:v>
                </c:pt>
              </c:numCache>
            </c:numRef>
          </c:yVal>
          <c:smooth val="1"/>
          <c:extLst>
            <c:ext xmlns:c16="http://schemas.microsoft.com/office/drawing/2014/chart" uri="{C3380CC4-5D6E-409C-BE32-E72D297353CC}">
              <c16:uniqueId val="{00000001-1DD0-4AFB-97BA-E715E3B14621}"/>
            </c:ext>
          </c:extLst>
        </c:ser>
        <c:ser>
          <c:idx val="1"/>
          <c:order val="2"/>
          <c:tx>
            <c:v>PAN:Silica - 1:1</c:v>
          </c:tx>
          <c:spPr>
            <a:ln w="15875" cap="rnd">
              <a:solidFill>
                <a:schemeClr val="accent2">
                  <a:alpha val="50000"/>
                </a:schemeClr>
              </a:solidFill>
              <a:round/>
            </a:ln>
            <a:effectLst/>
          </c:spPr>
          <c:marker>
            <c:symbol val="square"/>
            <c:size val="6"/>
            <c:spPr>
              <a:solidFill>
                <a:schemeClr val="lt1"/>
              </a:solidFill>
              <a:ln w="15875">
                <a:solidFill>
                  <a:schemeClr val="accent2"/>
                </a:solidFill>
                <a:round/>
              </a:ln>
              <a:effectLst/>
            </c:spPr>
          </c:marker>
          <c:xVal>
            <c:numRef>
              <c:f>Лист1!$J$10:$J$18</c:f>
              <c:numCache>
                <c:formatCode>General</c:formatCode>
                <c:ptCount val="9"/>
                <c:pt idx="0">
                  <c:v>0</c:v>
                </c:pt>
                <c:pt idx="1">
                  <c:v>0.14000000000000001</c:v>
                </c:pt>
                <c:pt idx="2">
                  <c:v>0.27</c:v>
                </c:pt>
                <c:pt idx="3">
                  <c:v>0.43</c:v>
                </c:pt>
                <c:pt idx="4">
                  <c:v>0.56999999999999995</c:v>
                </c:pt>
                <c:pt idx="5">
                  <c:v>0.72</c:v>
                </c:pt>
                <c:pt idx="6">
                  <c:v>0.85</c:v>
                </c:pt>
                <c:pt idx="7">
                  <c:v>0.96</c:v>
                </c:pt>
                <c:pt idx="8">
                  <c:v>0.99</c:v>
                </c:pt>
              </c:numCache>
            </c:numRef>
          </c:xVal>
          <c:yVal>
            <c:numRef>
              <c:f>Лист1!$K$10:$K$18</c:f>
              <c:numCache>
                <c:formatCode>General</c:formatCode>
                <c:ptCount val="9"/>
                <c:pt idx="0">
                  <c:v>0</c:v>
                </c:pt>
                <c:pt idx="1">
                  <c:v>3.5000000000000001E-3</c:v>
                </c:pt>
                <c:pt idx="2">
                  <c:v>5.0000000000000001E-3</c:v>
                </c:pt>
                <c:pt idx="3">
                  <c:v>6.0000000000000001E-3</c:v>
                </c:pt>
                <c:pt idx="4">
                  <c:v>0.01</c:v>
                </c:pt>
                <c:pt idx="5">
                  <c:v>1.9E-2</c:v>
                </c:pt>
                <c:pt idx="6">
                  <c:v>3.1E-2</c:v>
                </c:pt>
                <c:pt idx="7">
                  <c:v>5.0999999999999997E-2</c:v>
                </c:pt>
                <c:pt idx="8">
                  <c:v>6.2E-2</c:v>
                </c:pt>
              </c:numCache>
            </c:numRef>
          </c:yVal>
          <c:smooth val="1"/>
          <c:extLst>
            <c:ext xmlns:c16="http://schemas.microsoft.com/office/drawing/2014/chart" uri="{C3380CC4-5D6E-409C-BE32-E72D297353CC}">
              <c16:uniqueId val="{00000002-1DD0-4AFB-97BA-E715E3B14621}"/>
            </c:ext>
          </c:extLst>
        </c:ser>
        <c:ser>
          <c:idx val="3"/>
          <c:order val="3"/>
          <c:tx>
            <c:v>PAN:Silica - 1:2</c:v>
          </c:tx>
          <c:spPr>
            <a:ln w="15875" cap="rnd">
              <a:solidFill>
                <a:srgbClr val="FFC000"/>
              </a:solidFill>
              <a:prstDash val="dash"/>
              <a:round/>
            </a:ln>
            <a:effectLst/>
          </c:spPr>
          <c:marker>
            <c:symbol val="x"/>
            <c:size val="6"/>
            <c:spPr>
              <a:noFill/>
              <a:ln w="15875">
                <a:solidFill>
                  <a:schemeClr val="accent4"/>
                </a:solidFill>
                <a:round/>
              </a:ln>
              <a:effectLst/>
            </c:spPr>
          </c:marker>
          <c:xVal>
            <c:numRef>
              <c:f>Лист1!$J$21:$J$29</c:f>
              <c:numCache>
                <c:formatCode>General</c:formatCode>
                <c:ptCount val="9"/>
                <c:pt idx="0">
                  <c:v>0</c:v>
                </c:pt>
                <c:pt idx="1">
                  <c:v>0.14000000000000001</c:v>
                </c:pt>
                <c:pt idx="2">
                  <c:v>0.27</c:v>
                </c:pt>
                <c:pt idx="3">
                  <c:v>0.35</c:v>
                </c:pt>
                <c:pt idx="4">
                  <c:v>0.43</c:v>
                </c:pt>
                <c:pt idx="5">
                  <c:v>0.57999999999999996</c:v>
                </c:pt>
                <c:pt idx="6">
                  <c:v>0.7</c:v>
                </c:pt>
                <c:pt idx="7">
                  <c:v>0.78</c:v>
                </c:pt>
                <c:pt idx="8">
                  <c:v>0.99</c:v>
                </c:pt>
              </c:numCache>
            </c:numRef>
          </c:xVal>
          <c:yVal>
            <c:numRef>
              <c:f>Лист1!$K$21:$K$29</c:f>
              <c:numCache>
                <c:formatCode>General</c:formatCode>
                <c:ptCount val="9"/>
                <c:pt idx="0">
                  <c:v>0</c:v>
                </c:pt>
                <c:pt idx="1">
                  <c:v>5.0000000000000001E-3</c:v>
                </c:pt>
                <c:pt idx="2">
                  <c:v>7.1999999999999998E-3</c:v>
                </c:pt>
                <c:pt idx="3">
                  <c:v>8.0000000000000002E-3</c:v>
                </c:pt>
                <c:pt idx="4">
                  <c:v>8.0000000000000002E-3</c:v>
                </c:pt>
                <c:pt idx="5">
                  <c:v>1.2E-2</c:v>
                </c:pt>
                <c:pt idx="6">
                  <c:v>0.02</c:v>
                </c:pt>
                <c:pt idx="7">
                  <c:v>3.1E-2</c:v>
                </c:pt>
                <c:pt idx="8">
                  <c:v>6.2E-2</c:v>
                </c:pt>
              </c:numCache>
            </c:numRef>
          </c:yVal>
          <c:smooth val="1"/>
          <c:extLst>
            <c:ext xmlns:c16="http://schemas.microsoft.com/office/drawing/2014/chart" uri="{C3380CC4-5D6E-409C-BE32-E72D297353CC}">
              <c16:uniqueId val="{00000003-1DD0-4AFB-97BA-E715E3B14621}"/>
            </c:ext>
          </c:extLst>
        </c:ser>
        <c:ser>
          <c:idx val="4"/>
          <c:order val="4"/>
          <c:tx>
            <c:v>PAN:Silica - 1:3</c:v>
          </c:tx>
          <c:spPr>
            <a:ln w="15875" cap="rnd">
              <a:solidFill>
                <a:schemeClr val="accent5">
                  <a:alpha val="50000"/>
                </a:schemeClr>
              </a:solidFill>
              <a:round/>
            </a:ln>
            <a:effectLst/>
          </c:spPr>
          <c:marker>
            <c:symbol val="star"/>
            <c:size val="6"/>
            <c:spPr>
              <a:noFill/>
              <a:ln w="15875">
                <a:solidFill>
                  <a:schemeClr val="accent5"/>
                </a:solidFill>
                <a:round/>
              </a:ln>
              <a:effectLst/>
            </c:spPr>
          </c:marker>
          <c:xVal>
            <c:numRef>
              <c:f>Лист1!$N$21:$N$28</c:f>
              <c:numCache>
                <c:formatCode>General</c:formatCode>
                <c:ptCount val="8"/>
                <c:pt idx="0">
                  <c:v>0</c:v>
                </c:pt>
                <c:pt idx="1">
                  <c:v>0.16</c:v>
                </c:pt>
                <c:pt idx="2">
                  <c:v>0.36</c:v>
                </c:pt>
                <c:pt idx="3">
                  <c:v>0.52</c:v>
                </c:pt>
                <c:pt idx="4">
                  <c:v>0.72</c:v>
                </c:pt>
                <c:pt idx="5">
                  <c:v>0.8</c:v>
                </c:pt>
                <c:pt idx="6">
                  <c:v>0.93</c:v>
                </c:pt>
                <c:pt idx="7">
                  <c:v>0.99</c:v>
                </c:pt>
              </c:numCache>
            </c:numRef>
          </c:xVal>
          <c:yVal>
            <c:numRef>
              <c:f>Лист1!$O$21:$O$28</c:f>
              <c:numCache>
                <c:formatCode>General</c:formatCode>
                <c:ptCount val="8"/>
                <c:pt idx="0">
                  <c:v>0</c:v>
                </c:pt>
                <c:pt idx="1">
                  <c:v>8.9999999999999993E-3</c:v>
                </c:pt>
                <c:pt idx="2">
                  <c:v>1.2E-2</c:v>
                </c:pt>
                <c:pt idx="3">
                  <c:v>2.1999999999999999E-2</c:v>
                </c:pt>
                <c:pt idx="4">
                  <c:v>8.2000000000000003E-2</c:v>
                </c:pt>
                <c:pt idx="5">
                  <c:v>0.11</c:v>
                </c:pt>
                <c:pt idx="6">
                  <c:v>0.14299999999999999</c:v>
                </c:pt>
                <c:pt idx="7">
                  <c:v>0.16300000000000001</c:v>
                </c:pt>
              </c:numCache>
            </c:numRef>
          </c:yVal>
          <c:smooth val="1"/>
          <c:extLst>
            <c:ext xmlns:c16="http://schemas.microsoft.com/office/drawing/2014/chart" uri="{C3380CC4-5D6E-409C-BE32-E72D297353CC}">
              <c16:uniqueId val="{00000004-1DD0-4AFB-97BA-E715E3B14621}"/>
            </c:ext>
          </c:extLst>
        </c:ser>
        <c:ser>
          <c:idx val="5"/>
          <c:order val="5"/>
          <c:tx>
            <c:v>PAN:Silica - 1:4</c:v>
          </c:tx>
          <c:spPr>
            <a:ln w="15875" cap="rnd">
              <a:solidFill>
                <a:schemeClr val="accent6">
                  <a:alpha val="50000"/>
                </a:schemeClr>
              </a:solidFill>
              <a:round/>
            </a:ln>
            <a:effectLst/>
          </c:spPr>
          <c:marker>
            <c:symbol val="circle"/>
            <c:size val="6"/>
            <c:spPr>
              <a:solidFill>
                <a:schemeClr val="lt1"/>
              </a:solidFill>
              <a:ln w="15875">
                <a:solidFill>
                  <a:schemeClr val="accent6"/>
                </a:solidFill>
                <a:round/>
              </a:ln>
              <a:effectLst/>
            </c:spPr>
          </c:marker>
          <c:xVal>
            <c:numRef>
              <c:f>Лист1!$N$32:$N$42</c:f>
              <c:numCache>
                <c:formatCode>General</c:formatCode>
                <c:ptCount val="11"/>
                <c:pt idx="0">
                  <c:v>0</c:v>
                </c:pt>
                <c:pt idx="1">
                  <c:v>0.04</c:v>
                </c:pt>
                <c:pt idx="2">
                  <c:v>0.18</c:v>
                </c:pt>
                <c:pt idx="3">
                  <c:v>0.38</c:v>
                </c:pt>
                <c:pt idx="4">
                  <c:v>0.55000000000000004</c:v>
                </c:pt>
                <c:pt idx="5">
                  <c:v>0.6</c:v>
                </c:pt>
                <c:pt idx="6">
                  <c:v>0.69</c:v>
                </c:pt>
                <c:pt idx="7">
                  <c:v>0.83</c:v>
                </c:pt>
                <c:pt idx="8">
                  <c:v>0.9</c:v>
                </c:pt>
                <c:pt idx="9">
                  <c:v>0.96</c:v>
                </c:pt>
                <c:pt idx="10">
                  <c:v>0.99</c:v>
                </c:pt>
              </c:numCache>
            </c:numRef>
          </c:xVal>
          <c:yVal>
            <c:numRef>
              <c:f>Лист1!$O$32:$O$42</c:f>
              <c:numCache>
                <c:formatCode>General</c:formatCode>
                <c:ptCount val="11"/>
                <c:pt idx="0">
                  <c:v>0</c:v>
                </c:pt>
                <c:pt idx="1">
                  <c:v>4.0000000000000001E-3</c:v>
                </c:pt>
                <c:pt idx="2">
                  <c:v>8.0000000000000002E-3</c:v>
                </c:pt>
                <c:pt idx="3">
                  <c:v>1.2E-2</c:v>
                </c:pt>
                <c:pt idx="4">
                  <c:v>1.6500000000000001E-2</c:v>
                </c:pt>
                <c:pt idx="5">
                  <c:v>2.1999999999999999E-2</c:v>
                </c:pt>
                <c:pt idx="6">
                  <c:v>3.1E-2</c:v>
                </c:pt>
                <c:pt idx="7">
                  <c:v>0.06</c:v>
                </c:pt>
                <c:pt idx="8">
                  <c:v>8.5999999999999993E-2</c:v>
                </c:pt>
                <c:pt idx="9">
                  <c:v>0.1</c:v>
                </c:pt>
                <c:pt idx="10">
                  <c:v>0.106</c:v>
                </c:pt>
              </c:numCache>
            </c:numRef>
          </c:yVal>
          <c:smooth val="1"/>
          <c:extLst>
            <c:ext xmlns:c16="http://schemas.microsoft.com/office/drawing/2014/chart" uri="{C3380CC4-5D6E-409C-BE32-E72D297353CC}">
              <c16:uniqueId val="{00000005-1DD0-4AFB-97BA-E715E3B14621}"/>
            </c:ext>
          </c:extLst>
        </c:ser>
        <c:ser>
          <c:idx val="6"/>
          <c:order val="6"/>
          <c:tx>
            <c:v>2% PAN:Silica</c:v>
          </c:tx>
          <c:spPr>
            <a:ln w="15875" cap="rnd">
              <a:solidFill>
                <a:schemeClr val="accent1">
                  <a:lumMod val="60000"/>
                  <a:alpha val="50000"/>
                </a:schemeClr>
              </a:solidFill>
              <a:round/>
            </a:ln>
            <a:effectLst/>
          </c:spPr>
          <c:marker>
            <c:symbol val="plus"/>
            <c:size val="6"/>
            <c:spPr>
              <a:noFill/>
              <a:ln w="15875">
                <a:solidFill>
                  <a:schemeClr val="accent1">
                    <a:lumMod val="60000"/>
                  </a:schemeClr>
                </a:solidFill>
                <a:round/>
              </a:ln>
              <a:effectLst/>
            </c:spPr>
          </c:marker>
          <c:xVal>
            <c:numRef>
              <c:f>Лист1!$N$11:$N$18</c:f>
              <c:numCache>
                <c:formatCode>General</c:formatCode>
                <c:ptCount val="8"/>
                <c:pt idx="0">
                  <c:v>0</c:v>
                </c:pt>
                <c:pt idx="1">
                  <c:v>0.16</c:v>
                </c:pt>
                <c:pt idx="2">
                  <c:v>0.36</c:v>
                </c:pt>
                <c:pt idx="3">
                  <c:v>0.53</c:v>
                </c:pt>
                <c:pt idx="4">
                  <c:v>0.7</c:v>
                </c:pt>
                <c:pt idx="5">
                  <c:v>0.81</c:v>
                </c:pt>
                <c:pt idx="6">
                  <c:v>0.92</c:v>
                </c:pt>
                <c:pt idx="7">
                  <c:v>0.99</c:v>
                </c:pt>
              </c:numCache>
            </c:numRef>
          </c:xVal>
          <c:yVal>
            <c:numRef>
              <c:f>Лист1!$O$11:$O$18</c:f>
              <c:numCache>
                <c:formatCode>General</c:formatCode>
                <c:ptCount val="8"/>
                <c:pt idx="0">
                  <c:v>0</c:v>
                </c:pt>
                <c:pt idx="1">
                  <c:v>6.4999999999999997E-3</c:v>
                </c:pt>
                <c:pt idx="2">
                  <c:v>8.5000000000000006E-3</c:v>
                </c:pt>
                <c:pt idx="3">
                  <c:v>1.0500000000000001E-2</c:v>
                </c:pt>
                <c:pt idx="4">
                  <c:v>1.9E-2</c:v>
                </c:pt>
                <c:pt idx="5">
                  <c:v>3.2000000000000001E-2</c:v>
                </c:pt>
                <c:pt idx="6">
                  <c:v>4.7E-2</c:v>
                </c:pt>
                <c:pt idx="7">
                  <c:v>6.7000000000000004E-2</c:v>
                </c:pt>
              </c:numCache>
            </c:numRef>
          </c:yVal>
          <c:smooth val="1"/>
          <c:extLst>
            <c:ext xmlns:c16="http://schemas.microsoft.com/office/drawing/2014/chart" uri="{C3380CC4-5D6E-409C-BE32-E72D297353CC}">
              <c16:uniqueId val="{00000006-1DD0-4AFB-97BA-E715E3B14621}"/>
            </c:ext>
          </c:extLst>
        </c:ser>
        <c:dLbls>
          <c:showLegendKey val="0"/>
          <c:showVal val="0"/>
          <c:showCatName val="0"/>
          <c:showSerName val="0"/>
          <c:showPercent val="0"/>
          <c:showBubbleSize val="0"/>
        </c:dLbls>
        <c:axId val="410892152"/>
        <c:axId val="420914440"/>
      </c:scatterChart>
      <c:valAx>
        <c:axId val="410892152"/>
        <c:scaling>
          <c:orientation val="minMax"/>
          <c:max val="1"/>
        </c:scaling>
        <c:delete val="0"/>
        <c:axPos val="b"/>
        <c:majorGridlines>
          <c:spPr>
            <a:ln w="9525" cap="flat" cmpd="sng" algn="ctr">
              <a:solidFill>
                <a:schemeClr val="dk1">
                  <a:lumMod val="15000"/>
                  <a:lumOff val="85000"/>
                </a:schemeClr>
              </a:solidFill>
              <a:prstDash val="dash"/>
              <a:round/>
            </a:ln>
            <a:effectLst/>
          </c:spPr>
        </c:majorGridlines>
        <c:title>
          <c:tx>
            <c:rich>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en-US" sz="1200">
                    <a:solidFill>
                      <a:schemeClr val="tx1"/>
                    </a:solidFill>
                    <a:latin typeface="Times New Roman" panose="02020603050405020304" pitchFamily="18" charset="0"/>
                    <a:cs typeface="Times New Roman" panose="02020603050405020304" pitchFamily="18" charset="0"/>
                  </a:rPr>
                  <a:t>P/P</a:t>
                </a:r>
                <a:r>
                  <a:rPr lang="en-US" sz="1200" baseline="-25000">
                    <a:solidFill>
                      <a:schemeClr val="tx1"/>
                    </a:solidFill>
                    <a:latin typeface="Times New Roman" panose="02020603050405020304" pitchFamily="18" charset="0"/>
                    <a:cs typeface="Times New Roman" panose="02020603050405020304" pitchFamily="18" charset="0"/>
                  </a:rPr>
                  <a:t>0</a:t>
                </a:r>
                <a:endParaRPr lang="ru-RU" sz="1200" baseline="-25000">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itle>
        <c:numFmt formatCode="#,##0.0" sourceLinked="0"/>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200" b="1" i="0" u="none" strike="noStrike" kern="1200" cap="none" spc="0" normalizeH="0" baseline="0">
                <a:ln>
                  <a:noFill/>
                </a:ln>
                <a:solidFill>
                  <a:sysClr val="windowText" lastClr="000000"/>
                </a:solidFill>
                <a:effectLst/>
                <a:latin typeface="Times New Roman" panose="02020603050405020304" pitchFamily="18" charset="0"/>
                <a:ea typeface="+mn-ea"/>
                <a:cs typeface="Times New Roman" panose="02020603050405020304" pitchFamily="18" charset="0"/>
              </a:defRPr>
            </a:pPr>
            <a:endParaRPr lang="en-US"/>
          </a:p>
        </c:txPr>
        <c:crossAx val="420914440"/>
        <c:crosses val="autoZero"/>
        <c:crossBetween val="midCat"/>
      </c:valAx>
      <c:valAx>
        <c:axId val="420914440"/>
        <c:scaling>
          <c:orientation val="minMax"/>
          <c:max val="0.18000000000000008"/>
          <c:min val="0"/>
        </c:scaling>
        <c:delete val="0"/>
        <c:axPos val="l"/>
        <c:majorGridlines>
          <c:spPr>
            <a:ln w="9525" cap="flat" cmpd="sng" algn="ctr">
              <a:solidFill>
                <a:schemeClr val="dk1">
                  <a:lumMod val="15000"/>
                  <a:lumOff val="85000"/>
                </a:schemeClr>
              </a:solidFill>
              <a:prstDash val="sysDash"/>
              <a:round/>
            </a:ln>
            <a:effectLst/>
          </c:spPr>
        </c:majorGridlines>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en-US" sz="1200">
                    <a:solidFill>
                      <a:schemeClr val="tx1"/>
                    </a:solidFill>
                    <a:latin typeface="Times New Roman" panose="02020603050405020304" pitchFamily="18" charset="0"/>
                    <a:cs typeface="Times New Roman" panose="02020603050405020304" pitchFamily="18" charset="0"/>
                  </a:rPr>
                  <a:t>x/m</a:t>
                </a:r>
                <a:endParaRPr lang="ru-RU" sz="1200">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3.1658491117680441E-3"/>
              <c:y val="0.40019421568479846"/>
            </c:manualLayout>
          </c:layout>
          <c:overlay val="0"/>
          <c:spPr>
            <a:noFill/>
            <a:ln>
              <a:noFill/>
            </a:ln>
            <a:effectLst/>
          </c:spPr>
        </c:title>
        <c:numFmt formatCode="#,##0.00" sourceLinked="0"/>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10892152"/>
        <c:crosses val="autoZero"/>
        <c:crossBetween val="midCat"/>
        <c:majorUnit val="2.0000000000000011E-2"/>
      </c:valAx>
      <c:spPr>
        <a:noFill/>
        <a:ln>
          <a:solidFill>
            <a:schemeClr val="tx1"/>
          </a:solidFill>
        </a:ln>
        <a:effectLst/>
      </c:spPr>
    </c:plotArea>
    <c:legend>
      <c:legendPos val="b"/>
      <c:layout>
        <c:manualLayout>
          <c:xMode val="edge"/>
          <c:yMode val="edge"/>
          <c:x val="0.16760233596633498"/>
          <c:y val="9.2075694958019746E-2"/>
          <c:w val="0.42279375604365244"/>
          <c:h val="0.415111660530488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lt1"/>
    </a:solidFill>
    <a:ln w="9525" cap="flat" cmpd="sng" algn="ctr">
      <a:no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840317382713956"/>
          <c:y val="2.310764251813657E-2"/>
          <c:w val="0.79898519164739845"/>
          <c:h val="0.85357844169801667"/>
        </c:manualLayout>
      </c:layout>
      <c:scatterChart>
        <c:scatterStyle val="lineMarker"/>
        <c:varyColors val="0"/>
        <c:ser>
          <c:idx val="0"/>
          <c:order val="0"/>
          <c:tx>
            <c:v>Silica</c:v>
          </c:tx>
          <c:spPr>
            <a:ln w="9525" cap="rnd">
              <a:solidFill>
                <a:schemeClr val="accent1">
                  <a:alpha val="50000"/>
                </a:schemeClr>
              </a:solidFill>
              <a:round/>
            </a:ln>
            <a:effectLst/>
          </c:spPr>
          <c:marker>
            <c:symbol val="diamond"/>
            <c:size val="6"/>
            <c:spPr>
              <a:solidFill>
                <a:schemeClr val="lt1"/>
              </a:solidFill>
              <a:ln w="15875">
                <a:solidFill>
                  <a:schemeClr val="accent1"/>
                </a:solidFill>
                <a:round/>
              </a:ln>
              <a:effectLst/>
            </c:spPr>
          </c:marker>
          <c:xVal>
            <c:numRef>
              <c:f>Лист1!$S$10:$S$19</c:f>
              <c:numCache>
                <c:formatCode>General</c:formatCode>
                <c:ptCount val="10"/>
                <c:pt idx="0">
                  <c:v>0</c:v>
                </c:pt>
                <c:pt idx="1">
                  <c:v>0.1</c:v>
                </c:pt>
                <c:pt idx="2">
                  <c:v>0.2</c:v>
                </c:pt>
                <c:pt idx="3">
                  <c:v>0.3</c:v>
                </c:pt>
                <c:pt idx="4">
                  <c:v>0.52</c:v>
                </c:pt>
                <c:pt idx="5">
                  <c:v>0.65</c:v>
                </c:pt>
                <c:pt idx="6">
                  <c:v>0.8</c:v>
                </c:pt>
                <c:pt idx="7">
                  <c:v>0.88</c:v>
                </c:pt>
                <c:pt idx="8">
                  <c:v>0.92</c:v>
                </c:pt>
                <c:pt idx="9">
                  <c:v>0.99</c:v>
                </c:pt>
              </c:numCache>
            </c:numRef>
          </c:xVal>
          <c:yVal>
            <c:numRef>
              <c:f>Лист1!$T$10:$T$19</c:f>
              <c:numCache>
                <c:formatCode>General</c:formatCode>
                <c:ptCount val="10"/>
                <c:pt idx="0">
                  <c:v>0</c:v>
                </c:pt>
                <c:pt idx="1">
                  <c:v>4.0000000000000001E-3</c:v>
                </c:pt>
                <c:pt idx="2">
                  <c:v>5.0000000000000001E-3</c:v>
                </c:pt>
                <c:pt idx="3">
                  <c:v>6.0000000000000001E-3</c:v>
                </c:pt>
                <c:pt idx="4">
                  <c:v>8.0000000000000002E-3</c:v>
                </c:pt>
                <c:pt idx="5">
                  <c:v>1.2E-2</c:v>
                </c:pt>
                <c:pt idx="6">
                  <c:v>2.1000000000000001E-2</c:v>
                </c:pt>
                <c:pt idx="7">
                  <c:v>0.04</c:v>
                </c:pt>
                <c:pt idx="8">
                  <c:v>6.0999999999999999E-2</c:v>
                </c:pt>
                <c:pt idx="9">
                  <c:v>0.17199999999999999</c:v>
                </c:pt>
              </c:numCache>
            </c:numRef>
          </c:yVal>
          <c:smooth val="1"/>
          <c:extLst>
            <c:ext xmlns:c16="http://schemas.microsoft.com/office/drawing/2014/chart" uri="{C3380CC4-5D6E-409C-BE32-E72D297353CC}">
              <c16:uniqueId val="{00000000-C840-4BBA-901A-1CE7FF8157B0}"/>
            </c:ext>
          </c:extLst>
        </c:ser>
        <c:ser>
          <c:idx val="1"/>
          <c:order val="1"/>
          <c:tx>
            <c:v>PAN</c:v>
          </c:tx>
          <c:spPr>
            <a:ln w="9525" cap="rnd">
              <a:solidFill>
                <a:schemeClr val="accent2">
                  <a:alpha val="50000"/>
                </a:schemeClr>
              </a:solidFill>
              <a:round/>
            </a:ln>
            <a:effectLst/>
          </c:spPr>
          <c:marker>
            <c:symbol val="square"/>
            <c:size val="6"/>
            <c:spPr>
              <a:solidFill>
                <a:schemeClr val="lt1"/>
              </a:solidFill>
              <a:ln w="15875">
                <a:solidFill>
                  <a:schemeClr val="accent2"/>
                </a:solidFill>
                <a:round/>
              </a:ln>
              <a:effectLst/>
            </c:spPr>
          </c:marker>
          <c:xVal>
            <c:numRef>
              <c:f>Лист1!$S$22:$S$29</c:f>
              <c:numCache>
                <c:formatCode>General</c:formatCode>
                <c:ptCount val="8"/>
                <c:pt idx="0">
                  <c:v>0</c:v>
                </c:pt>
                <c:pt idx="1">
                  <c:v>0.23</c:v>
                </c:pt>
                <c:pt idx="2">
                  <c:v>0.33</c:v>
                </c:pt>
                <c:pt idx="3">
                  <c:v>0.44</c:v>
                </c:pt>
                <c:pt idx="4">
                  <c:v>0.63</c:v>
                </c:pt>
                <c:pt idx="5">
                  <c:v>0.72</c:v>
                </c:pt>
                <c:pt idx="6">
                  <c:v>0.89</c:v>
                </c:pt>
                <c:pt idx="7">
                  <c:v>0.99</c:v>
                </c:pt>
              </c:numCache>
            </c:numRef>
          </c:xVal>
          <c:yVal>
            <c:numRef>
              <c:f>Лист1!$T$22:$T$29</c:f>
              <c:numCache>
                <c:formatCode>General</c:formatCode>
                <c:ptCount val="8"/>
                <c:pt idx="0">
                  <c:v>0</c:v>
                </c:pt>
                <c:pt idx="1">
                  <c:v>4.0000000000000001E-3</c:v>
                </c:pt>
                <c:pt idx="2">
                  <c:v>5.0000000000000001E-3</c:v>
                </c:pt>
                <c:pt idx="3">
                  <c:v>5.0000000000000001E-3</c:v>
                </c:pt>
                <c:pt idx="4">
                  <c:v>6.0000000000000001E-3</c:v>
                </c:pt>
                <c:pt idx="5">
                  <c:v>7.0000000000000001E-3</c:v>
                </c:pt>
                <c:pt idx="6">
                  <c:v>1.0999999999999999E-2</c:v>
                </c:pt>
                <c:pt idx="7">
                  <c:v>1.9E-2</c:v>
                </c:pt>
              </c:numCache>
            </c:numRef>
          </c:yVal>
          <c:smooth val="1"/>
          <c:extLst>
            <c:ext xmlns:c16="http://schemas.microsoft.com/office/drawing/2014/chart" uri="{C3380CC4-5D6E-409C-BE32-E72D297353CC}">
              <c16:uniqueId val="{00000001-C840-4BBA-901A-1CE7FF8157B0}"/>
            </c:ext>
          </c:extLst>
        </c:ser>
        <c:ser>
          <c:idx val="2"/>
          <c:order val="2"/>
          <c:tx>
            <c:v>PAN:Silica - 1:1</c:v>
          </c:tx>
          <c:spPr>
            <a:ln w="9525" cap="rnd">
              <a:solidFill>
                <a:schemeClr val="accent3">
                  <a:alpha val="50000"/>
                </a:schemeClr>
              </a:solidFill>
              <a:round/>
            </a:ln>
            <a:effectLst/>
          </c:spPr>
          <c:marker>
            <c:symbol val="triangle"/>
            <c:size val="6"/>
            <c:spPr>
              <a:solidFill>
                <a:schemeClr val="lt1"/>
              </a:solidFill>
              <a:ln w="15875">
                <a:solidFill>
                  <a:schemeClr val="accent3"/>
                </a:solidFill>
                <a:round/>
              </a:ln>
              <a:effectLst/>
            </c:spPr>
          </c:marker>
          <c:xVal>
            <c:numRef>
              <c:f>Лист1!$C$11:$C$18</c:f>
              <c:numCache>
                <c:formatCode>General</c:formatCode>
                <c:ptCount val="8"/>
                <c:pt idx="0">
                  <c:v>0.15</c:v>
                </c:pt>
                <c:pt idx="1">
                  <c:v>0.28000000000000003</c:v>
                </c:pt>
                <c:pt idx="2">
                  <c:v>0.4</c:v>
                </c:pt>
                <c:pt idx="3">
                  <c:v>0.5</c:v>
                </c:pt>
                <c:pt idx="4">
                  <c:v>0.65</c:v>
                </c:pt>
                <c:pt idx="5">
                  <c:v>0.8</c:v>
                </c:pt>
                <c:pt idx="6">
                  <c:v>0.88</c:v>
                </c:pt>
                <c:pt idx="7">
                  <c:v>0.99</c:v>
                </c:pt>
              </c:numCache>
            </c:numRef>
          </c:xVal>
          <c:yVal>
            <c:numRef>
              <c:f>Лист1!$D$11:$D$18</c:f>
              <c:numCache>
                <c:formatCode>General</c:formatCode>
                <c:ptCount val="8"/>
                <c:pt idx="0">
                  <c:v>3.0000000000000001E-3</c:v>
                </c:pt>
                <c:pt idx="1">
                  <c:v>3.2000000000000002E-3</c:v>
                </c:pt>
                <c:pt idx="2">
                  <c:v>3.2000000000000002E-3</c:v>
                </c:pt>
                <c:pt idx="3">
                  <c:v>4.0000000000000001E-3</c:v>
                </c:pt>
                <c:pt idx="4">
                  <c:v>7.0000000000000001E-3</c:v>
                </c:pt>
                <c:pt idx="5">
                  <c:v>1.35E-2</c:v>
                </c:pt>
                <c:pt idx="6">
                  <c:v>2.2499999999999999E-2</c:v>
                </c:pt>
                <c:pt idx="7">
                  <c:v>6.9000000000000006E-2</c:v>
                </c:pt>
              </c:numCache>
            </c:numRef>
          </c:yVal>
          <c:smooth val="1"/>
          <c:extLst>
            <c:ext xmlns:c16="http://schemas.microsoft.com/office/drawing/2014/chart" uri="{C3380CC4-5D6E-409C-BE32-E72D297353CC}">
              <c16:uniqueId val="{00000002-C840-4BBA-901A-1CE7FF8157B0}"/>
            </c:ext>
          </c:extLst>
        </c:ser>
        <c:ser>
          <c:idx val="3"/>
          <c:order val="3"/>
          <c:tx>
            <c:v>PAN:Silica - 1:2</c:v>
          </c:tx>
          <c:spPr>
            <a:ln w="25400" cap="rnd">
              <a:noFill/>
              <a:round/>
            </a:ln>
            <a:effectLst/>
          </c:spPr>
          <c:marker>
            <c:symbol val="x"/>
            <c:size val="6"/>
            <c:spPr>
              <a:noFill/>
              <a:ln w="15875">
                <a:solidFill>
                  <a:schemeClr val="accent4"/>
                </a:solidFill>
                <a:round/>
              </a:ln>
              <a:effectLst/>
            </c:spPr>
          </c:marker>
          <c:xVal>
            <c:numRef>
              <c:f>Лист1!$V$22:$V$30</c:f>
              <c:numCache>
                <c:formatCode>General</c:formatCode>
                <c:ptCount val="9"/>
                <c:pt idx="0">
                  <c:v>0</c:v>
                </c:pt>
                <c:pt idx="1">
                  <c:v>0.12</c:v>
                </c:pt>
                <c:pt idx="2">
                  <c:v>0.21</c:v>
                </c:pt>
                <c:pt idx="3">
                  <c:v>0.4</c:v>
                </c:pt>
                <c:pt idx="4">
                  <c:v>0.5</c:v>
                </c:pt>
                <c:pt idx="5">
                  <c:v>0.65</c:v>
                </c:pt>
                <c:pt idx="6">
                  <c:v>0.79</c:v>
                </c:pt>
                <c:pt idx="7">
                  <c:v>0.9</c:v>
                </c:pt>
                <c:pt idx="8">
                  <c:v>0.99</c:v>
                </c:pt>
              </c:numCache>
            </c:numRef>
          </c:xVal>
          <c:yVal>
            <c:numRef>
              <c:f>Лист1!$W$22:$W$30</c:f>
              <c:numCache>
                <c:formatCode>General</c:formatCode>
                <c:ptCount val="9"/>
                <c:pt idx="0">
                  <c:v>0</c:v>
                </c:pt>
                <c:pt idx="1">
                  <c:v>3.0000000000000001E-3</c:v>
                </c:pt>
                <c:pt idx="2">
                  <c:v>3.2000000000000002E-3</c:v>
                </c:pt>
                <c:pt idx="3">
                  <c:v>4.0000000000000001E-3</c:v>
                </c:pt>
                <c:pt idx="4">
                  <c:v>5.4999999999999997E-3</c:v>
                </c:pt>
                <c:pt idx="5">
                  <c:v>0.01</c:v>
                </c:pt>
                <c:pt idx="6">
                  <c:v>1.7999999999999999E-2</c:v>
                </c:pt>
                <c:pt idx="7">
                  <c:v>0.03</c:v>
                </c:pt>
                <c:pt idx="8">
                  <c:v>0.08</c:v>
                </c:pt>
              </c:numCache>
            </c:numRef>
          </c:yVal>
          <c:smooth val="0"/>
          <c:extLst>
            <c:ext xmlns:c16="http://schemas.microsoft.com/office/drawing/2014/chart" uri="{C3380CC4-5D6E-409C-BE32-E72D297353CC}">
              <c16:uniqueId val="{00000003-C840-4BBA-901A-1CE7FF8157B0}"/>
            </c:ext>
          </c:extLst>
        </c:ser>
        <c:ser>
          <c:idx val="4"/>
          <c:order val="4"/>
          <c:tx>
            <c:v>PAN:Silica - 1:3</c:v>
          </c:tx>
          <c:spPr>
            <a:ln w="9525" cap="rnd">
              <a:solidFill>
                <a:schemeClr val="accent5">
                  <a:alpha val="50000"/>
                </a:schemeClr>
              </a:solidFill>
              <a:round/>
            </a:ln>
            <a:effectLst/>
          </c:spPr>
          <c:marker>
            <c:symbol val="star"/>
            <c:size val="6"/>
            <c:spPr>
              <a:noFill/>
              <a:ln w="15875">
                <a:solidFill>
                  <a:schemeClr val="accent5"/>
                </a:solidFill>
                <a:round/>
              </a:ln>
              <a:effectLst/>
            </c:spPr>
          </c:marker>
          <c:xVal>
            <c:numRef>
              <c:f>Лист1!$Z$22:$Z$29</c:f>
              <c:numCache>
                <c:formatCode>General</c:formatCode>
                <c:ptCount val="8"/>
                <c:pt idx="0">
                  <c:v>0</c:v>
                </c:pt>
                <c:pt idx="1">
                  <c:v>0.22</c:v>
                </c:pt>
                <c:pt idx="2">
                  <c:v>0.43</c:v>
                </c:pt>
                <c:pt idx="3">
                  <c:v>0.63</c:v>
                </c:pt>
                <c:pt idx="4">
                  <c:v>0.77</c:v>
                </c:pt>
                <c:pt idx="5">
                  <c:v>0.88</c:v>
                </c:pt>
                <c:pt idx="6">
                  <c:v>0.94</c:v>
                </c:pt>
                <c:pt idx="7">
                  <c:v>0.99</c:v>
                </c:pt>
              </c:numCache>
            </c:numRef>
          </c:xVal>
          <c:yVal>
            <c:numRef>
              <c:f>Лист1!$AA$22:$AA$29</c:f>
              <c:numCache>
                <c:formatCode>General</c:formatCode>
                <c:ptCount val="8"/>
                <c:pt idx="0">
                  <c:v>0</c:v>
                </c:pt>
                <c:pt idx="1">
                  <c:v>1.0999999999999999E-2</c:v>
                </c:pt>
                <c:pt idx="2">
                  <c:v>1.55E-2</c:v>
                </c:pt>
                <c:pt idx="3">
                  <c:v>1.9E-2</c:v>
                </c:pt>
                <c:pt idx="4">
                  <c:v>2.5999999999999999E-2</c:v>
                </c:pt>
                <c:pt idx="5">
                  <c:v>0.04</c:v>
                </c:pt>
                <c:pt idx="6">
                  <c:v>7.0999999999999994E-2</c:v>
                </c:pt>
                <c:pt idx="7">
                  <c:v>0.19</c:v>
                </c:pt>
              </c:numCache>
            </c:numRef>
          </c:yVal>
          <c:smooth val="1"/>
          <c:extLst>
            <c:ext xmlns:c16="http://schemas.microsoft.com/office/drawing/2014/chart" uri="{C3380CC4-5D6E-409C-BE32-E72D297353CC}">
              <c16:uniqueId val="{00000004-C840-4BBA-901A-1CE7FF8157B0}"/>
            </c:ext>
          </c:extLst>
        </c:ser>
        <c:ser>
          <c:idx val="5"/>
          <c:order val="5"/>
          <c:tx>
            <c:v>PAN:Silica - 1:4</c:v>
          </c:tx>
          <c:spPr>
            <a:ln w="9525" cap="rnd">
              <a:solidFill>
                <a:schemeClr val="accent6">
                  <a:alpha val="50000"/>
                </a:schemeClr>
              </a:solidFill>
              <a:round/>
            </a:ln>
            <a:effectLst/>
          </c:spPr>
          <c:marker>
            <c:symbol val="circle"/>
            <c:size val="6"/>
            <c:spPr>
              <a:solidFill>
                <a:schemeClr val="lt1"/>
              </a:solidFill>
              <a:ln w="15875">
                <a:solidFill>
                  <a:schemeClr val="accent6"/>
                </a:solidFill>
                <a:round/>
              </a:ln>
              <a:effectLst/>
            </c:spPr>
          </c:marker>
          <c:xVal>
            <c:numRef>
              <c:f>Лист1!$Z$32:$Z$38</c:f>
              <c:numCache>
                <c:formatCode>General</c:formatCode>
                <c:ptCount val="7"/>
                <c:pt idx="0">
                  <c:v>0</c:v>
                </c:pt>
                <c:pt idx="1">
                  <c:v>0.17</c:v>
                </c:pt>
                <c:pt idx="2">
                  <c:v>0.35</c:v>
                </c:pt>
                <c:pt idx="3">
                  <c:v>0.51</c:v>
                </c:pt>
                <c:pt idx="4">
                  <c:v>0.85599999999999998</c:v>
                </c:pt>
                <c:pt idx="5">
                  <c:v>0.91</c:v>
                </c:pt>
                <c:pt idx="6">
                  <c:v>0.99</c:v>
                </c:pt>
              </c:numCache>
            </c:numRef>
          </c:xVal>
          <c:yVal>
            <c:numRef>
              <c:f>Лист1!$AA$32:$AA$38</c:f>
              <c:numCache>
                <c:formatCode>General</c:formatCode>
                <c:ptCount val="7"/>
                <c:pt idx="0">
                  <c:v>0</c:v>
                </c:pt>
                <c:pt idx="1">
                  <c:v>3.0000000000000001E-3</c:v>
                </c:pt>
                <c:pt idx="2">
                  <c:v>5.0000000000000001E-3</c:v>
                </c:pt>
                <c:pt idx="3">
                  <c:v>7.0000000000000001E-3</c:v>
                </c:pt>
                <c:pt idx="4">
                  <c:v>2.4E-2</c:v>
                </c:pt>
                <c:pt idx="5">
                  <c:v>3.2000000000000001E-2</c:v>
                </c:pt>
                <c:pt idx="6">
                  <c:v>7.8E-2</c:v>
                </c:pt>
              </c:numCache>
            </c:numRef>
          </c:yVal>
          <c:smooth val="1"/>
          <c:extLst>
            <c:ext xmlns:c16="http://schemas.microsoft.com/office/drawing/2014/chart" uri="{C3380CC4-5D6E-409C-BE32-E72D297353CC}">
              <c16:uniqueId val="{00000005-C840-4BBA-901A-1CE7FF8157B0}"/>
            </c:ext>
          </c:extLst>
        </c:ser>
        <c:ser>
          <c:idx val="6"/>
          <c:order val="6"/>
          <c:tx>
            <c:v>2 % PAN:Silica</c:v>
          </c:tx>
          <c:spPr>
            <a:ln w="9525" cap="rnd">
              <a:solidFill>
                <a:schemeClr val="accent1">
                  <a:lumMod val="60000"/>
                  <a:alpha val="50000"/>
                </a:schemeClr>
              </a:solidFill>
              <a:round/>
            </a:ln>
            <a:effectLst/>
          </c:spPr>
          <c:marker>
            <c:symbol val="plus"/>
            <c:size val="6"/>
            <c:spPr>
              <a:noFill/>
              <a:ln w="15875">
                <a:solidFill>
                  <a:schemeClr val="accent1">
                    <a:lumMod val="60000"/>
                  </a:schemeClr>
                </a:solidFill>
                <a:round/>
              </a:ln>
              <a:effectLst/>
            </c:spPr>
          </c:marker>
          <c:xVal>
            <c:numRef>
              <c:f>Лист1!$Z$10:$Z$17</c:f>
              <c:numCache>
                <c:formatCode>General</c:formatCode>
                <c:ptCount val="8"/>
                <c:pt idx="0">
                  <c:v>0</c:v>
                </c:pt>
                <c:pt idx="1">
                  <c:v>0.16</c:v>
                </c:pt>
                <c:pt idx="2">
                  <c:v>0.34</c:v>
                </c:pt>
                <c:pt idx="3">
                  <c:v>0.51</c:v>
                </c:pt>
                <c:pt idx="4">
                  <c:v>0.67</c:v>
                </c:pt>
                <c:pt idx="5">
                  <c:v>0.86</c:v>
                </c:pt>
                <c:pt idx="6">
                  <c:v>0.91</c:v>
                </c:pt>
                <c:pt idx="7">
                  <c:v>0.99</c:v>
                </c:pt>
              </c:numCache>
            </c:numRef>
          </c:xVal>
          <c:yVal>
            <c:numRef>
              <c:f>Лист1!$AA$10:$AA$17</c:f>
              <c:numCache>
                <c:formatCode>General</c:formatCode>
                <c:ptCount val="8"/>
                <c:pt idx="0">
                  <c:v>0</c:v>
                </c:pt>
                <c:pt idx="1">
                  <c:v>4.0000000000000001E-3</c:v>
                </c:pt>
                <c:pt idx="2">
                  <c:v>7.0000000000000001E-3</c:v>
                </c:pt>
                <c:pt idx="3">
                  <c:v>8.0000000000000002E-3</c:v>
                </c:pt>
                <c:pt idx="4">
                  <c:v>9.4999999999999998E-3</c:v>
                </c:pt>
                <c:pt idx="5">
                  <c:v>1.6E-2</c:v>
                </c:pt>
                <c:pt idx="6">
                  <c:v>2.1000000000000001E-2</c:v>
                </c:pt>
                <c:pt idx="7">
                  <c:v>4.4999999999999998E-2</c:v>
                </c:pt>
              </c:numCache>
            </c:numRef>
          </c:yVal>
          <c:smooth val="1"/>
          <c:extLst>
            <c:ext xmlns:c16="http://schemas.microsoft.com/office/drawing/2014/chart" uri="{C3380CC4-5D6E-409C-BE32-E72D297353CC}">
              <c16:uniqueId val="{00000006-C840-4BBA-901A-1CE7FF8157B0}"/>
            </c:ext>
          </c:extLst>
        </c:ser>
        <c:dLbls>
          <c:showLegendKey val="0"/>
          <c:showVal val="0"/>
          <c:showCatName val="0"/>
          <c:showSerName val="0"/>
          <c:showPercent val="0"/>
          <c:showBubbleSize val="0"/>
        </c:dLbls>
        <c:axId val="415001624"/>
        <c:axId val="415002016"/>
      </c:scatterChart>
      <c:valAx>
        <c:axId val="415001624"/>
        <c:scaling>
          <c:orientation val="minMax"/>
          <c:max val="1"/>
        </c:scaling>
        <c:delete val="0"/>
        <c:axPos val="b"/>
        <c:majorGridlines>
          <c:spPr>
            <a:ln w="9525" cap="flat" cmpd="sng" algn="ctr">
              <a:solidFill>
                <a:schemeClr val="dk1">
                  <a:lumMod val="15000"/>
                  <a:lumOff val="85000"/>
                </a:schemeClr>
              </a:solidFill>
              <a:prstDash val="dash"/>
              <a:round/>
            </a:ln>
            <a:effectLst/>
          </c:spPr>
        </c:majorGridlines>
        <c:title>
          <c:tx>
            <c:rich>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1200">
                    <a:latin typeface="Times New Roman" panose="02020603050405020304" pitchFamily="18" charset="0"/>
                    <a:cs typeface="Times New Roman" panose="02020603050405020304" pitchFamily="18" charset="0"/>
                  </a:rPr>
                  <a:t>P/P</a:t>
                </a:r>
                <a:r>
                  <a:rPr lang="en-US" sz="1200" baseline="-25000">
                    <a:latin typeface="Times New Roman" panose="02020603050405020304" pitchFamily="18" charset="0"/>
                    <a:cs typeface="Times New Roman" panose="02020603050405020304" pitchFamily="18" charset="0"/>
                  </a:rPr>
                  <a:t>0</a:t>
                </a:r>
              </a:p>
            </c:rich>
          </c:tx>
          <c:overlay val="0"/>
          <c:spPr>
            <a:noFill/>
            <a:ln>
              <a:noFill/>
            </a:ln>
            <a:effectLst/>
          </c:spPr>
        </c:title>
        <c:numFmt formatCode="#,##0.0" sourceLinked="0"/>
        <c:majorTickMark val="in"/>
        <c:minorTickMark val="none"/>
        <c:tickLblPos val="nextTo"/>
        <c:spPr>
          <a:noFill/>
          <a:ln w="9525" cap="flat" cmpd="sng" algn="ctr">
            <a:solidFill>
              <a:schemeClr val="tx1">
                <a:alpha val="54000"/>
              </a:schemeClr>
            </a:solidFill>
            <a:round/>
          </a:ln>
          <a:effectLst/>
        </c:spPr>
        <c:txPr>
          <a:bodyPr rot="-60000000" spcFirstLastPara="1" vertOverflow="ellipsis" vert="horz" wrap="square" anchor="ctr" anchorCtr="1"/>
          <a:lstStyle/>
          <a:p>
            <a:pPr>
              <a:defRPr sz="1200" b="1" i="0" u="none" strike="noStrike" kern="1200" cap="none" spc="0" normalizeH="0" baseline="0">
                <a:ln>
                  <a:noFill/>
                </a:ln>
                <a:solidFill>
                  <a:schemeClr val="tx1"/>
                </a:solidFill>
                <a:latin typeface="Times New Roman" panose="02020603050405020304" pitchFamily="18" charset="0"/>
                <a:ea typeface="+mn-ea"/>
                <a:cs typeface="Times New Roman" panose="02020603050405020304" pitchFamily="18" charset="0"/>
              </a:defRPr>
            </a:pPr>
            <a:endParaRPr lang="en-US"/>
          </a:p>
        </c:txPr>
        <c:crossAx val="415002016"/>
        <c:crosses val="autoZero"/>
        <c:crossBetween val="midCat"/>
      </c:valAx>
      <c:valAx>
        <c:axId val="415002016"/>
        <c:scaling>
          <c:orientation val="minMax"/>
        </c:scaling>
        <c:delete val="0"/>
        <c:axPos val="l"/>
        <c:majorGridlines>
          <c:spPr>
            <a:ln w="9525" cap="flat" cmpd="sng" algn="ctr">
              <a:solidFill>
                <a:schemeClr val="dk1">
                  <a:lumMod val="15000"/>
                  <a:lumOff val="85000"/>
                </a:schemeClr>
              </a:solidFill>
              <a:prstDash val="dash"/>
              <a:round/>
            </a:ln>
            <a:effectLst/>
          </c:spPr>
        </c:majorGridlines>
        <c:title>
          <c:tx>
            <c:rich>
              <a:bodyPr rot="-54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1200">
                    <a:latin typeface="Times New Roman" panose="02020603050405020304" pitchFamily="18" charset="0"/>
                    <a:cs typeface="Times New Roman" panose="02020603050405020304" pitchFamily="18" charset="0"/>
                  </a:rPr>
                  <a:t>x/m</a:t>
                </a:r>
              </a:p>
            </c:rich>
          </c:tx>
          <c:layout>
            <c:manualLayout>
              <c:xMode val="edge"/>
              <c:yMode val="edge"/>
              <c:x val="3.8856674972220545E-3"/>
              <c:y val="0.4170143476821993"/>
            </c:manualLayout>
          </c:layout>
          <c:overlay val="0"/>
          <c:spPr>
            <a:noFill/>
            <a:ln>
              <a:noFill/>
            </a:ln>
            <a:effectLst/>
          </c:spPr>
        </c:title>
        <c:numFmt formatCode="#,##0.00" sourceLinked="0"/>
        <c:majorTickMark val="in"/>
        <c:minorTickMark val="none"/>
        <c:tickLblPos val="nextTo"/>
        <c:spPr>
          <a:noFill/>
          <a:ln w="9525" cap="flat" cmpd="sng" algn="ctr">
            <a:solidFill>
              <a:schemeClr val="tx1">
                <a:alpha val="54000"/>
              </a:schemeClr>
            </a:solidFill>
            <a:round/>
          </a:ln>
          <a:effectLst/>
        </c:spPr>
        <c:txPr>
          <a:bodyPr rot="-600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15001624"/>
        <c:crosses val="autoZero"/>
        <c:crossBetween val="midCat"/>
      </c:valAx>
      <c:spPr>
        <a:noFill/>
        <a:ln>
          <a:solidFill>
            <a:schemeClr val="tx1"/>
          </a:solidFill>
        </a:ln>
        <a:effectLst/>
      </c:spPr>
    </c:plotArea>
    <c:legend>
      <c:legendPos val="b"/>
      <c:layout>
        <c:manualLayout>
          <c:xMode val="edge"/>
          <c:yMode val="edge"/>
          <c:x val="0.1901739639423454"/>
          <c:y val="5.3094776156305187E-2"/>
          <c:w val="0.37750168163652909"/>
          <c:h val="0.3624854036102629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lt1"/>
    </a:solidFill>
    <a:ln w="9525" cap="flat" cmpd="sng" algn="ctr">
      <a:noFill/>
      <a:round/>
    </a:ln>
    <a:effectLst/>
  </c:spPr>
  <c:txPr>
    <a:bodyPr/>
    <a:lstStyle/>
    <a:p>
      <a:pPr>
        <a:defRPr>
          <a:solidFill>
            <a:schemeClr val="tx1"/>
          </a:solidFill>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2770860037844106E-2"/>
          <c:y val="3.5908596300326445E-2"/>
          <c:w val="0.7759073145292652"/>
          <c:h val="0.77246782161478877"/>
        </c:manualLayout>
      </c:layout>
      <c:scatterChart>
        <c:scatterStyle val="lineMarker"/>
        <c:varyColors val="0"/>
        <c:ser>
          <c:idx val="1"/>
          <c:order val="0"/>
          <c:tx>
            <c:v>Эксперимент қийматлари </c:v>
          </c:tx>
          <c:spPr>
            <a:ln w="28575">
              <a:noFill/>
            </a:ln>
          </c:spPr>
          <c:marker>
            <c:symbol val="triangle"/>
            <c:size val="6"/>
            <c:spPr>
              <a:noFill/>
              <a:ln>
                <a:solidFill>
                  <a:srgbClr val="000000"/>
                </a:solidFill>
                <a:prstDash val="solid"/>
              </a:ln>
            </c:spPr>
          </c:marker>
          <c:xVal>
            <c:numRef>
              <c:f>Tabl!$E$3:$E$106</c:f>
              <c:numCache>
                <c:formatCode>0.00</c:formatCode>
                <c:ptCount val="104"/>
                <c:pt idx="0">
                  <c:v>-7.1891677384203225</c:v>
                </c:pt>
                <c:pt idx="1">
                  <c:v>-5.956850461085244</c:v>
                </c:pt>
                <c:pt idx="2">
                  <c:v>-4.9278387619416284</c:v>
                </c:pt>
                <c:pt idx="3">
                  <c:v>-4.1061116366946564</c:v>
                </c:pt>
                <c:pt idx="4">
                  <c:v>-3.7574680946447669</c:v>
                </c:pt>
                <c:pt idx="5">
                  <c:v>-3.2204493893156454</c:v>
                </c:pt>
                <c:pt idx="6">
                  <c:v>-3.0020414427472657</c:v>
                </c:pt>
                <c:pt idx="7">
                  <c:v>-2.8019462868693483</c:v>
                </c:pt>
                <c:pt idx="8">
                  <c:v>-2.5965763346391015</c:v>
                </c:pt>
                <c:pt idx="9">
                  <c:v>-2.4298468726049731</c:v>
                </c:pt>
                <c:pt idx="10">
                  <c:v>-2.2655438213136967</c:v>
                </c:pt>
                <c:pt idx="11">
                  <c:v>-2.1647391221917309</c:v>
                </c:pt>
                <c:pt idx="12">
                  <c:v>-2.0731719286662407</c:v>
                </c:pt>
                <c:pt idx="13">
                  <c:v>-1.9778617488619157</c:v>
                </c:pt>
                <c:pt idx="14">
                  <c:v>-1.892935878363309</c:v>
                </c:pt>
                <c:pt idx="15">
                  <c:v>-1.7842406368140324</c:v>
                </c:pt>
                <c:pt idx="16">
                  <c:v>-1.6710457218235926</c:v>
                </c:pt>
                <c:pt idx="17">
                  <c:v>-1.5800012401389731</c:v>
                </c:pt>
                <c:pt idx="18">
                  <c:v>-1.4951550553599267</c:v>
                </c:pt>
                <c:pt idx="19">
                  <c:v>-1.3553321355159238</c:v>
                </c:pt>
                <c:pt idx="20">
                  <c:v>-1.2847145683019703</c:v>
                </c:pt>
                <c:pt idx="21">
                  <c:v>-1.1568811967920856</c:v>
                </c:pt>
                <c:pt idx="22">
                  <c:v>-1.0435525114850823</c:v>
                </c:pt>
                <c:pt idx="23">
                  <c:v>-0.94176981717513986</c:v>
                </c:pt>
                <c:pt idx="24">
                  <c:v>-0.85677660434174729</c:v>
                </c:pt>
                <c:pt idx="25">
                  <c:v>-0.8204089601708725</c:v>
                </c:pt>
                <c:pt idx="26">
                  <c:v>-0.71862626586093026</c:v>
                </c:pt>
                <c:pt idx="27">
                  <c:v>-0.62625294572991508</c:v>
                </c:pt>
                <c:pt idx="28">
                  <c:v>-0.54169555770185207</c:v>
                </c:pt>
                <c:pt idx="29">
                  <c:v>-0.37755631999108791</c:v>
                </c:pt>
                <c:pt idx="30">
                  <c:v>-0.26898993943962829</c:v>
                </c:pt>
                <c:pt idx="31">
                  <c:v>-0.12726177961092719</c:v>
                </c:pt>
                <c:pt idx="32">
                  <c:v>-5.1955546067383646E-2</c:v>
                </c:pt>
              </c:numCache>
            </c:numRef>
          </c:xVal>
          <c:yVal>
            <c:numRef>
              <c:f>Tabl!$B$3:$B$106</c:f>
              <c:numCache>
                <c:formatCode>0</c:formatCode>
                <c:ptCount val="104"/>
                <c:pt idx="0">
                  <c:v>21.123419068535036</c:v>
                </c:pt>
                <c:pt idx="1">
                  <c:v>101.86607214478394</c:v>
                </c:pt>
                <c:pt idx="2">
                  <c:v>191.36547550604618</c:v>
                </c:pt>
                <c:pt idx="3">
                  <c:v>263.76971143452977</c:v>
                </c:pt>
                <c:pt idx="4">
                  <c:v>308</c:v>
                </c:pt>
                <c:pt idx="5">
                  <c:v>384.91109679123491</c:v>
                </c:pt>
                <c:pt idx="6">
                  <c:v>425.14992713900006</c:v>
                </c:pt>
                <c:pt idx="7">
                  <c:v>482.48950587519698</c:v>
                </c:pt>
                <c:pt idx="8">
                  <c:v>544</c:v>
                </c:pt>
                <c:pt idx="9">
                  <c:v>652.64564671866538</c:v>
                </c:pt>
                <c:pt idx="10">
                  <c:v>737</c:v>
                </c:pt>
                <c:pt idx="11">
                  <c:v>831</c:v>
                </c:pt>
                <c:pt idx="12">
                  <c:v>898</c:v>
                </c:pt>
                <c:pt idx="13">
                  <c:v>1000</c:v>
                </c:pt>
                <c:pt idx="14">
                  <c:v>1096</c:v>
                </c:pt>
                <c:pt idx="15">
                  <c:v>1200</c:v>
                </c:pt>
                <c:pt idx="16">
                  <c:v>1340</c:v>
                </c:pt>
                <c:pt idx="17">
                  <c:v>1455</c:v>
                </c:pt>
                <c:pt idx="18">
                  <c:v>1595</c:v>
                </c:pt>
                <c:pt idx="19">
                  <c:v>1756</c:v>
                </c:pt>
                <c:pt idx="20">
                  <c:v>1886</c:v>
                </c:pt>
                <c:pt idx="21">
                  <c:v>2016</c:v>
                </c:pt>
                <c:pt idx="22">
                  <c:v>2182</c:v>
                </c:pt>
                <c:pt idx="23">
                  <c:v>2317</c:v>
                </c:pt>
                <c:pt idx="24">
                  <c:v>2447</c:v>
                </c:pt>
                <c:pt idx="25">
                  <c:v>2587</c:v>
                </c:pt>
                <c:pt idx="26">
                  <c:v>2727</c:v>
                </c:pt>
                <c:pt idx="27">
                  <c:v>2862</c:v>
                </c:pt>
                <c:pt idx="28">
                  <c:v>3013</c:v>
                </c:pt>
                <c:pt idx="29">
                  <c:v>3236</c:v>
                </c:pt>
                <c:pt idx="30">
                  <c:v>3408</c:v>
                </c:pt>
                <c:pt idx="31">
                  <c:v>3610</c:v>
                </c:pt>
                <c:pt idx="32">
                  <c:v>3785</c:v>
                </c:pt>
              </c:numCache>
            </c:numRef>
          </c:yVal>
          <c:smooth val="0"/>
          <c:extLst>
            <c:ext xmlns:c16="http://schemas.microsoft.com/office/drawing/2014/chart" uri="{C3380CC4-5D6E-409C-BE32-E72D297353CC}">
              <c16:uniqueId val="{00000000-5242-4B78-9D75-A385965ED285}"/>
            </c:ext>
          </c:extLst>
        </c:ser>
        <c:ser>
          <c:idx val="2"/>
          <c:order val="1"/>
          <c:tx>
            <c:v>МҲТН тенламаси орқали ҳисобланган нуқталар</c:v>
          </c:tx>
          <c:spPr>
            <a:ln w="28575">
              <a:noFill/>
            </a:ln>
          </c:spPr>
          <c:marker>
            <c:symbol val="triangle"/>
            <c:size val="6"/>
            <c:spPr>
              <a:solidFill>
                <a:srgbClr val="000000"/>
              </a:solidFill>
              <a:ln>
                <a:solidFill>
                  <a:srgbClr val="000000"/>
                </a:solidFill>
                <a:prstDash val="solid"/>
              </a:ln>
            </c:spPr>
          </c:marker>
          <c:xVal>
            <c:numRef>
              <c:f>Tabl!$AA$3:$AA$106</c:f>
              <c:numCache>
                <c:formatCode>0.00</c:formatCode>
                <c:ptCount val="104"/>
                <c:pt idx="0">
                  <c:v>-7.1891677384203225</c:v>
                </c:pt>
                <c:pt idx="1">
                  <c:v>-6.5730090997527828</c:v>
                </c:pt>
                <c:pt idx="2">
                  <c:v>-5.4423446115134357</c:v>
                </c:pt>
                <c:pt idx="3">
                  <c:v>-4.5169751993181428</c:v>
                </c:pt>
                <c:pt idx="4">
                  <c:v>-3.9317898656697117</c:v>
                </c:pt>
                <c:pt idx="5">
                  <c:v>-3.4889587419802064</c:v>
                </c:pt>
                <c:pt idx="6">
                  <c:v>-3.1112454160314558</c:v>
                </c:pt>
                <c:pt idx="7">
                  <c:v>-2.9019938648083068</c:v>
                </c:pt>
                <c:pt idx="8">
                  <c:v>-2.6992613107542249</c:v>
                </c:pt>
                <c:pt idx="9">
                  <c:v>-2.5132116036220373</c:v>
                </c:pt>
                <c:pt idx="10">
                  <c:v>-2.3476953469593349</c:v>
                </c:pt>
                <c:pt idx="11">
                  <c:v>-2.2151414717527138</c:v>
                </c:pt>
                <c:pt idx="12">
                  <c:v>-2.1189555254289858</c:v>
                </c:pt>
                <c:pt idx="13">
                  <c:v>-2.0255168387640783</c:v>
                </c:pt>
                <c:pt idx="14">
                  <c:v>-1.9353988136126123</c:v>
                </c:pt>
                <c:pt idx="15">
                  <c:v>-1.8385882575886707</c:v>
                </c:pt>
                <c:pt idx="16">
                  <c:v>-1.7276431793188125</c:v>
                </c:pt>
                <c:pt idx="17">
                  <c:v>-1.6255234809812829</c:v>
                </c:pt>
                <c:pt idx="18">
                  <c:v>-1.5375781477494499</c:v>
                </c:pt>
                <c:pt idx="19">
                  <c:v>-1.4252435954379252</c:v>
                </c:pt>
                <c:pt idx="20">
                  <c:v>-1.320023351908947</c:v>
                </c:pt>
                <c:pt idx="21">
                  <c:v>-1.220797882547028</c:v>
                </c:pt>
                <c:pt idx="22">
                  <c:v>-1.1002168541385839</c:v>
                </c:pt>
                <c:pt idx="23">
                  <c:v>-0.99266116433011109</c:v>
                </c:pt>
                <c:pt idx="24">
                  <c:v>-0.89927321075844358</c:v>
                </c:pt>
                <c:pt idx="25">
                  <c:v>-0.83859278225630995</c:v>
                </c:pt>
                <c:pt idx="26">
                  <c:v>-0.76951761301590138</c:v>
                </c:pt>
                <c:pt idx="27">
                  <c:v>-0.67243960579542272</c:v>
                </c:pt>
                <c:pt idx="28">
                  <c:v>-0.58397425171588357</c:v>
                </c:pt>
                <c:pt idx="29">
                  <c:v>-0.45962593884646996</c:v>
                </c:pt>
                <c:pt idx="30">
                  <c:v>-0.3232731297153581</c:v>
                </c:pt>
                <c:pt idx="31">
                  <c:v>-0.19812585952527773</c:v>
                </c:pt>
                <c:pt idx="32">
                  <c:v>-8.9608662839155417E-2</c:v>
                </c:pt>
              </c:numCache>
            </c:numRef>
          </c:xVal>
          <c:yVal>
            <c:numRef>
              <c:f>Tabl!$W$3:$W$106</c:f>
              <c:numCache>
                <c:formatCode>0.0</c:formatCode>
                <c:ptCount val="104"/>
                <c:pt idx="0">
                  <c:v>21.13991949382395</c:v>
                </c:pt>
                <c:pt idx="1">
                  <c:v>49.863260047022749</c:v>
                </c:pt>
                <c:pt idx="2">
                  <c:v>143.25660514933895</c:v>
                </c:pt>
                <c:pt idx="3">
                  <c:v>235.38225347971138</c:v>
                </c:pt>
                <c:pt idx="4">
                  <c:v>290.9014067724396</c:v>
                </c:pt>
                <c:pt idx="5">
                  <c:v>339.63485236670493</c:v>
                </c:pt>
                <c:pt idx="6">
                  <c:v>402.62064200714468</c:v>
                </c:pt>
                <c:pt idx="7">
                  <c:v>455.23186109087834</c:v>
                </c:pt>
                <c:pt idx="8">
                  <c:v>524.97709112559528</c:v>
                </c:pt>
                <c:pt idx="9">
                  <c:v>610.36776694928244</c:v>
                </c:pt>
                <c:pt idx="10">
                  <c:v>707.42846522500872</c:v>
                </c:pt>
                <c:pt idx="11">
                  <c:v>801.59093589440147</c:v>
                </c:pt>
                <c:pt idx="12">
                  <c:v>879.84838814661998</c:v>
                </c:pt>
                <c:pt idx="13">
                  <c:v>964.22846903258778</c:v>
                </c:pt>
                <c:pt idx="14">
                  <c:v>1053.5676631513138</c:v>
                </c:pt>
                <c:pt idx="15">
                  <c:v>1158.2500734709179</c:v>
                </c:pt>
                <c:pt idx="16">
                  <c:v>1289.0400410054981</c:v>
                </c:pt>
                <c:pt idx="17">
                  <c:v>1419.0751034561733</c:v>
                </c:pt>
                <c:pt idx="18">
                  <c:v>1537.8053010494343</c:v>
                </c:pt>
                <c:pt idx="19">
                  <c:v>1697.275664229287</c:v>
                </c:pt>
                <c:pt idx="20">
                  <c:v>1852.9292174000125</c:v>
                </c:pt>
                <c:pt idx="21">
                  <c:v>2003.424805887398</c:v>
                </c:pt>
                <c:pt idx="22">
                  <c:v>2188.2349262435296</c:v>
                </c:pt>
                <c:pt idx="23">
                  <c:v>2351.7977716368964</c:v>
                </c:pt>
                <c:pt idx="24">
                  <c:v>2490.3395819180664</c:v>
                </c:pt>
                <c:pt idx="25">
                  <c:v>2577.5700109919089</c:v>
                </c:pt>
                <c:pt idx="26">
                  <c:v>2673.3135748406235</c:v>
                </c:pt>
                <c:pt idx="27">
                  <c:v>2799.8697075474297</c:v>
                </c:pt>
                <c:pt idx="28">
                  <c:v>2905.2663042069944</c:v>
                </c:pt>
                <c:pt idx="29">
                  <c:v>3107</c:v>
                </c:pt>
                <c:pt idx="30">
                  <c:v>3315</c:v>
                </c:pt>
                <c:pt idx="31">
                  <c:v>3541</c:v>
                </c:pt>
                <c:pt idx="32">
                  <c:v>3713</c:v>
                </c:pt>
              </c:numCache>
            </c:numRef>
          </c:yVal>
          <c:smooth val="0"/>
          <c:extLst>
            <c:ext xmlns:c16="http://schemas.microsoft.com/office/drawing/2014/chart" uri="{C3380CC4-5D6E-409C-BE32-E72D297353CC}">
              <c16:uniqueId val="{00000001-5242-4B78-9D75-A385965ED285}"/>
            </c:ext>
          </c:extLst>
        </c:ser>
        <c:dLbls>
          <c:showLegendKey val="0"/>
          <c:showVal val="0"/>
          <c:showCatName val="0"/>
          <c:showSerName val="0"/>
          <c:showPercent val="0"/>
          <c:showBubbleSize val="0"/>
        </c:dLbls>
        <c:axId val="415002408"/>
        <c:axId val="415000056"/>
      </c:scatterChart>
      <c:valAx>
        <c:axId val="415002408"/>
        <c:scaling>
          <c:orientation val="minMax"/>
        </c:scaling>
        <c:delete val="0"/>
        <c:axPos val="b"/>
        <c:numFmt formatCode="General" sourceLinked="0"/>
        <c:majorTickMark val="out"/>
        <c:minorTickMark val="out"/>
        <c:tickLblPos val="nextTo"/>
        <c:spPr>
          <a:ln w="3175">
            <a:solidFill>
              <a:srgbClr val="000000"/>
            </a:solidFill>
            <a:prstDash val="solid"/>
          </a:ln>
        </c:spPr>
        <c:txPr>
          <a:bodyPr rot="0" vert="horz"/>
          <a:lstStyle/>
          <a:p>
            <a:pPr>
              <a:defRPr sz="1400" b="0" i="0" u="none" strike="noStrike" baseline="0">
                <a:solidFill>
                  <a:srgbClr val="000000"/>
                </a:solidFill>
                <a:latin typeface="Times New Roman"/>
                <a:ea typeface="Times New Roman"/>
                <a:cs typeface="Times New Roman"/>
              </a:defRPr>
            </a:pPr>
            <a:endParaRPr lang="en-US"/>
          </a:p>
        </c:txPr>
        <c:crossAx val="415000056"/>
        <c:crosses val="autoZero"/>
        <c:crossBetween val="midCat"/>
        <c:majorUnit val="2"/>
        <c:minorUnit val="0.5"/>
      </c:valAx>
      <c:valAx>
        <c:axId val="415000056"/>
        <c:scaling>
          <c:orientation val="minMax"/>
        </c:scaling>
        <c:delete val="0"/>
        <c:axPos val="l"/>
        <c:numFmt formatCode="General" sourceLinked="0"/>
        <c:majorTickMark val="in"/>
        <c:minorTickMark val="in"/>
        <c:tickLblPos val="high"/>
        <c:spPr>
          <a:ln w="3175">
            <a:solidFill>
              <a:srgbClr val="000000"/>
            </a:solidFill>
            <a:prstDash val="solid"/>
          </a:ln>
        </c:spPr>
        <c:txPr>
          <a:bodyPr rot="0" vert="horz"/>
          <a:lstStyle/>
          <a:p>
            <a:pPr>
              <a:defRPr sz="1400" b="0" i="0" u="none" strike="noStrike" baseline="0">
                <a:solidFill>
                  <a:srgbClr val="000000"/>
                </a:solidFill>
                <a:latin typeface="Times New Roman"/>
                <a:ea typeface="Times New Roman"/>
                <a:cs typeface="Times New Roman"/>
              </a:defRPr>
            </a:pPr>
            <a:endParaRPr lang="en-US"/>
          </a:p>
        </c:txPr>
        <c:crossAx val="415002408"/>
        <c:crosses val="autoZero"/>
        <c:crossBetween val="midCat"/>
        <c:majorUnit val="1000"/>
        <c:minorUnit val="500"/>
        <c:dispUnits>
          <c:builtInUnit val="thousands"/>
        </c:dispUnits>
      </c:valAx>
      <c:spPr>
        <a:noFill/>
        <a:ln w="25400">
          <a:noFill/>
        </a:ln>
      </c:spPr>
    </c:plotArea>
    <c:plotVisOnly val="1"/>
    <c:dispBlanksAs val="gap"/>
    <c:showDLblsOverMax val="0"/>
  </c:chart>
  <c:spPr>
    <a:noFill/>
    <a:ln w="9525">
      <a:noFill/>
    </a:ln>
  </c:spPr>
  <c:txPr>
    <a:bodyPr/>
    <a:lstStyle/>
    <a:p>
      <a:pPr>
        <a:defRPr sz="1600" b="0" i="0" u="none" strike="noStrike" baseline="0">
          <a:solidFill>
            <a:srgbClr val="000000"/>
          </a:solidFill>
          <a:latin typeface="Times New Roman"/>
          <a:ea typeface="Times New Roman"/>
          <a:cs typeface="Times New Roman"/>
        </a:defRPr>
      </a:pPr>
      <a:endParaRPr lang="en-US"/>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8551068883610451E-2"/>
          <c:y val="2.9313409195655983E-2"/>
          <c:w val="0.75220628300322312"/>
          <c:h val="0.81526845005874693"/>
        </c:manualLayout>
      </c:layout>
      <c:scatterChart>
        <c:scatterStyle val="lineMarker"/>
        <c:varyColors val="0"/>
        <c:ser>
          <c:idx val="1"/>
          <c:order val="0"/>
          <c:tx>
            <c:v>Эксперимент қийматлари </c:v>
          </c:tx>
          <c:spPr>
            <a:ln w="28575">
              <a:noFill/>
            </a:ln>
          </c:spPr>
          <c:marker>
            <c:symbol val="triangle"/>
            <c:size val="6"/>
            <c:spPr>
              <a:noFill/>
              <a:ln>
                <a:solidFill>
                  <a:srgbClr val="000000"/>
                </a:solidFill>
                <a:prstDash val="solid"/>
              </a:ln>
            </c:spPr>
          </c:marker>
          <c:xVal>
            <c:numRef>
              <c:f>Tabl!$E$3:$E$106</c:f>
              <c:numCache>
                <c:formatCode>0.00</c:formatCode>
                <c:ptCount val="104"/>
                <c:pt idx="0">
                  <c:v>-9.8981399462095325</c:v>
                </c:pt>
                <c:pt idx="1">
                  <c:v>-9.2049927656495871</c:v>
                </c:pt>
                <c:pt idx="2">
                  <c:v>-8.4790557622666505</c:v>
                </c:pt>
                <c:pt idx="3">
                  <c:v>-7.9057097815193265</c:v>
                </c:pt>
                <c:pt idx="4">
                  <c:v>-7.2239912967830042</c:v>
                </c:pt>
                <c:pt idx="5">
                  <c:v>-6.5541009783873259</c:v>
                </c:pt>
                <c:pt idx="6">
                  <c:v>-5.8319662609541281</c:v>
                </c:pt>
                <c:pt idx="7">
                  <c:v>-5.3097768785378223</c:v>
                </c:pt>
                <c:pt idx="8">
                  <c:v>-4.8229661309757059</c:v>
                </c:pt>
                <c:pt idx="9">
                  <c:v>-4.3438892055242952</c:v>
                </c:pt>
                <c:pt idx="10">
                  <c:v>-3.8658534045812956</c:v>
                </c:pt>
                <c:pt idx="11">
                  <c:v>-3.4471430697231105</c:v>
                </c:pt>
                <c:pt idx="12">
                  <c:v>-3.0593775387143474</c:v>
                </c:pt>
                <c:pt idx="13">
                  <c:v>-2.7280204027599044</c:v>
                </c:pt>
                <c:pt idx="14">
                  <c:v>-2.4025980023252766</c:v>
                </c:pt>
                <c:pt idx="15">
                  <c:v>-2.1430868068401923</c:v>
                </c:pt>
                <c:pt idx="16">
                  <c:v>-1.8917723785592861</c:v>
                </c:pt>
                <c:pt idx="17">
                  <c:v>-1.5632683115872499</c:v>
                </c:pt>
                <c:pt idx="18">
                  <c:v>-1.3164082336557241</c:v>
                </c:pt>
                <c:pt idx="19">
                  <c:v>-1.132525396294817</c:v>
                </c:pt>
                <c:pt idx="20">
                  <c:v>-0.97548164668513093</c:v>
                </c:pt>
                <c:pt idx="21">
                  <c:v>-0.77481095122297983</c:v>
                </c:pt>
                <c:pt idx="22">
                  <c:v>-0.63900941006391809</c:v>
                </c:pt>
                <c:pt idx="23">
                  <c:v>-0.46465602291914021</c:v>
                </c:pt>
                <c:pt idx="24">
                  <c:v>-0.30480732197724419</c:v>
                </c:pt>
                <c:pt idx="25">
                  <c:v>-0.17697395046735934</c:v>
                </c:pt>
                <c:pt idx="26">
                  <c:v>0</c:v>
                </c:pt>
                <c:pt idx="27">
                  <c:v>0</c:v>
                </c:pt>
                <c:pt idx="28">
                  <c:v>0</c:v>
                </c:pt>
                <c:pt idx="29">
                  <c:v>0</c:v>
                </c:pt>
                <c:pt idx="30">
                  <c:v>0</c:v>
                </c:pt>
                <c:pt idx="31">
                  <c:v>0</c:v>
                </c:pt>
                <c:pt idx="32">
                  <c:v>0</c:v>
                </c:pt>
              </c:numCache>
            </c:numRef>
          </c:xVal>
          <c:yVal>
            <c:numRef>
              <c:f>Tabl!$B$3:$B$106</c:f>
              <c:numCache>
                <c:formatCode>0</c:formatCode>
                <c:ptCount val="104"/>
                <c:pt idx="0">
                  <c:v>8</c:v>
                </c:pt>
                <c:pt idx="1">
                  <c:v>19.100000000000001</c:v>
                </c:pt>
                <c:pt idx="2">
                  <c:v>25.7</c:v>
                </c:pt>
                <c:pt idx="3">
                  <c:v>41.7</c:v>
                </c:pt>
                <c:pt idx="4">
                  <c:v>59.5</c:v>
                </c:pt>
                <c:pt idx="5">
                  <c:v>105.9</c:v>
                </c:pt>
                <c:pt idx="6">
                  <c:v>149.19999999999999</c:v>
                </c:pt>
                <c:pt idx="7">
                  <c:v>189.3</c:v>
                </c:pt>
                <c:pt idx="8">
                  <c:v>227.8</c:v>
                </c:pt>
                <c:pt idx="9">
                  <c:v>283.2</c:v>
                </c:pt>
                <c:pt idx="10">
                  <c:v>325.7</c:v>
                </c:pt>
                <c:pt idx="11">
                  <c:v>369</c:v>
                </c:pt>
                <c:pt idx="12">
                  <c:v>405.9</c:v>
                </c:pt>
                <c:pt idx="13">
                  <c:v>443.6</c:v>
                </c:pt>
                <c:pt idx="14">
                  <c:v>482.9</c:v>
                </c:pt>
                <c:pt idx="15">
                  <c:v>526.20000000000005</c:v>
                </c:pt>
                <c:pt idx="16">
                  <c:v>567.1</c:v>
                </c:pt>
                <c:pt idx="17">
                  <c:v>608.79999999999995</c:v>
                </c:pt>
                <c:pt idx="18">
                  <c:v>666</c:v>
                </c:pt>
                <c:pt idx="19">
                  <c:v>726</c:v>
                </c:pt>
                <c:pt idx="20">
                  <c:v>780</c:v>
                </c:pt>
                <c:pt idx="21">
                  <c:v>820</c:v>
                </c:pt>
                <c:pt idx="22">
                  <c:v>863</c:v>
                </c:pt>
                <c:pt idx="23">
                  <c:v>906</c:v>
                </c:pt>
                <c:pt idx="24">
                  <c:v>951.3</c:v>
                </c:pt>
                <c:pt idx="25">
                  <c:v>983</c:v>
                </c:pt>
                <c:pt idx="26">
                  <c:v>0</c:v>
                </c:pt>
                <c:pt idx="27">
                  <c:v>0</c:v>
                </c:pt>
                <c:pt idx="28">
                  <c:v>0</c:v>
                </c:pt>
                <c:pt idx="29">
                  <c:v>0</c:v>
                </c:pt>
                <c:pt idx="30">
                  <c:v>0</c:v>
                </c:pt>
                <c:pt idx="31">
                  <c:v>0</c:v>
                </c:pt>
                <c:pt idx="32">
                  <c:v>0</c:v>
                </c:pt>
              </c:numCache>
            </c:numRef>
          </c:yVal>
          <c:smooth val="0"/>
          <c:extLst>
            <c:ext xmlns:c16="http://schemas.microsoft.com/office/drawing/2014/chart" uri="{C3380CC4-5D6E-409C-BE32-E72D297353CC}">
              <c16:uniqueId val="{00000000-1AF3-40D3-941B-74B676BFA42F}"/>
            </c:ext>
          </c:extLst>
        </c:ser>
        <c:ser>
          <c:idx val="2"/>
          <c:order val="1"/>
          <c:tx>
            <c:v>МҲТН тенламаси орқали ҳисобланган нуқталар</c:v>
          </c:tx>
          <c:spPr>
            <a:ln w="28575">
              <a:noFill/>
            </a:ln>
          </c:spPr>
          <c:marker>
            <c:symbol val="triangle"/>
            <c:size val="6"/>
            <c:spPr>
              <a:solidFill>
                <a:srgbClr val="000000"/>
              </a:solidFill>
              <a:ln>
                <a:solidFill>
                  <a:srgbClr val="000000"/>
                </a:solidFill>
                <a:prstDash val="solid"/>
              </a:ln>
            </c:spPr>
          </c:marker>
          <c:xVal>
            <c:numRef>
              <c:f>Tabl!$AA$3:$AA$106</c:f>
              <c:numCache>
                <c:formatCode>0.00</c:formatCode>
                <c:ptCount val="104"/>
                <c:pt idx="0">
                  <c:v>-9.8981399462095325</c:v>
                </c:pt>
                <c:pt idx="1">
                  <c:v>-9.5515663559295589</c:v>
                </c:pt>
                <c:pt idx="2">
                  <c:v>-8.8420242639581197</c:v>
                </c:pt>
                <c:pt idx="3">
                  <c:v>-8.1923827718929889</c:v>
                </c:pt>
                <c:pt idx="4">
                  <c:v>-7.5648505391511653</c:v>
                </c:pt>
                <c:pt idx="5">
                  <c:v>-6.889046137585165</c:v>
                </c:pt>
                <c:pt idx="6">
                  <c:v>-6.193033619670727</c:v>
                </c:pt>
                <c:pt idx="7">
                  <c:v>-5.5708715697459752</c:v>
                </c:pt>
                <c:pt idx="8">
                  <c:v>-5.0663715047567646</c:v>
                </c:pt>
                <c:pt idx="9">
                  <c:v>-4.5834276682500006</c:v>
                </c:pt>
                <c:pt idx="10">
                  <c:v>-4.1048713050527956</c:v>
                </c:pt>
                <c:pt idx="11">
                  <c:v>-3.6564982371522028</c:v>
                </c:pt>
                <c:pt idx="12">
                  <c:v>-3.2532603042187289</c:v>
                </c:pt>
                <c:pt idx="13">
                  <c:v>-2.8936989707371259</c:v>
                </c:pt>
                <c:pt idx="14">
                  <c:v>-2.5653092025425908</c:v>
                </c:pt>
                <c:pt idx="15">
                  <c:v>-2.2728424045827342</c:v>
                </c:pt>
                <c:pt idx="16">
                  <c:v>-2.017429592699739</c:v>
                </c:pt>
                <c:pt idx="17">
                  <c:v>-1.7275203450732679</c:v>
                </c:pt>
                <c:pt idx="18">
                  <c:v>-1.4398382726214871</c:v>
                </c:pt>
                <c:pt idx="19">
                  <c:v>-1.2244668149752704</c:v>
                </c:pt>
                <c:pt idx="20">
                  <c:v>-1.0540035214899739</c:v>
                </c:pt>
                <c:pt idx="21">
                  <c:v>-0.87514629895405538</c:v>
                </c:pt>
                <c:pt idx="22">
                  <c:v>-0.70691018064344902</c:v>
                </c:pt>
                <c:pt idx="23">
                  <c:v>-0.5518327164915291</c:v>
                </c:pt>
                <c:pt idx="24">
                  <c:v>-0.38473167244819217</c:v>
                </c:pt>
                <c:pt idx="25">
                  <c:v>-0.24089063622230178</c:v>
                </c:pt>
                <c:pt idx="26">
                  <c:v>0</c:v>
                </c:pt>
                <c:pt idx="27">
                  <c:v>0</c:v>
                </c:pt>
                <c:pt idx="28">
                  <c:v>0</c:v>
                </c:pt>
                <c:pt idx="29">
                  <c:v>0</c:v>
                </c:pt>
                <c:pt idx="30">
                  <c:v>0</c:v>
                </c:pt>
                <c:pt idx="31">
                  <c:v>0</c:v>
                </c:pt>
                <c:pt idx="32">
                  <c:v>0</c:v>
                </c:pt>
              </c:numCache>
            </c:numRef>
          </c:xVal>
          <c:yVal>
            <c:numRef>
              <c:f>Tabl!$W$3:$W$106</c:f>
              <c:numCache>
                <c:formatCode>0.0</c:formatCode>
                <c:ptCount val="104"/>
                <c:pt idx="0">
                  <c:v>9.9826911988801754</c:v>
                </c:pt>
                <c:pt idx="1">
                  <c:v>13.226129758020644</c:v>
                </c:pt>
                <c:pt idx="2">
                  <c:v>22.803420655659981</c:v>
                </c:pt>
                <c:pt idx="3">
                  <c:v>36.190171179471328</c:v>
                </c:pt>
                <c:pt idx="4">
                  <c:v>54.679798277943554</c:v>
                </c:pt>
                <c:pt idx="5">
                  <c:v>82.202499495673308</c:v>
                </c:pt>
                <c:pt idx="6">
                  <c:v>120.20721590696344</c:v>
                </c:pt>
                <c:pt idx="7">
                  <c:v>163.15416202720294</c:v>
                </c:pt>
                <c:pt idx="8">
                  <c:v>204.11410758616591</c:v>
                </c:pt>
                <c:pt idx="9">
                  <c:v>247.94126133833728</c:v>
                </c:pt>
                <c:pt idx="10">
                  <c:v>294.93814292811754</c:v>
                </c:pt>
                <c:pt idx="11">
                  <c:v>341.13255042342684</c:v>
                </c:pt>
                <c:pt idx="12">
                  <c:v>383.66499719283178</c:v>
                </c:pt>
                <c:pt idx="13">
                  <c:v>422.38944122723495</c:v>
                </c:pt>
                <c:pt idx="14">
                  <c:v>459.70013371172234</c:v>
                </c:pt>
                <c:pt idx="15">
                  <c:v>497.04729778184361</c:v>
                </c:pt>
                <c:pt idx="16">
                  <c:v>535.88118142425799</c:v>
                </c:pt>
                <c:pt idx="17">
                  <c:v>591.10407139876224</c:v>
                </c:pt>
                <c:pt idx="18">
                  <c:v>661.04655892101334</c:v>
                </c:pt>
                <c:pt idx="19">
                  <c:v>723.40231745259916</c:v>
                </c:pt>
                <c:pt idx="20">
                  <c:v>777.25002537683395</c:v>
                </c:pt>
                <c:pt idx="21">
                  <c:v>835.35459321558073</c:v>
                </c:pt>
                <c:pt idx="22">
                  <c:v>888.26644293024538</c:v>
                </c:pt>
                <c:pt idx="23">
                  <c:v>932.35176551076734</c:v>
                </c:pt>
                <c:pt idx="24">
                  <c:v>971.35771128066131</c:v>
                </c:pt>
                <c:pt idx="25">
                  <c:v>995.40170593998209</c:v>
                </c:pt>
                <c:pt idx="26">
                  <c:v>0</c:v>
                </c:pt>
                <c:pt idx="27">
                  <c:v>0</c:v>
                </c:pt>
                <c:pt idx="28">
                  <c:v>0</c:v>
                </c:pt>
                <c:pt idx="29">
                  <c:v>0</c:v>
                </c:pt>
                <c:pt idx="30">
                  <c:v>0</c:v>
                </c:pt>
                <c:pt idx="31">
                  <c:v>0</c:v>
                </c:pt>
                <c:pt idx="32">
                  <c:v>0</c:v>
                </c:pt>
              </c:numCache>
            </c:numRef>
          </c:yVal>
          <c:smooth val="0"/>
          <c:extLst>
            <c:ext xmlns:c16="http://schemas.microsoft.com/office/drawing/2014/chart" uri="{C3380CC4-5D6E-409C-BE32-E72D297353CC}">
              <c16:uniqueId val="{00000001-1AF3-40D3-941B-74B676BFA42F}"/>
            </c:ext>
          </c:extLst>
        </c:ser>
        <c:dLbls>
          <c:showLegendKey val="0"/>
          <c:showVal val="0"/>
          <c:showCatName val="0"/>
          <c:showSerName val="0"/>
          <c:showPercent val="0"/>
          <c:showBubbleSize val="0"/>
        </c:dLbls>
        <c:axId val="415000448"/>
        <c:axId val="415000840"/>
      </c:scatterChart>
      <c:valAx>
        <c:axId val="415000448"/>
        <c:scaling>
          <c:orientation val="minMax"/>
        </c:scaling>
        <c:delete val="0"/>
        <c:axPos val="b"/>
        <c:title>
          <c:tx>
            <c:rich>
              <a:bodyPr/>
              <a:lstStyle/>
              <a:p>
                <a:pPr>
                  <a:defRPr sz="1600" b="0" i="0" u="none" strike="noStrike" baseline="0">
                    <a:solidFill>
                      <a:srgbClr val="000000"/>
                    </a:solidFill>
                    <a:latin typeface="Times New Roman"/>
                    <a:ea typeface="Times New Roman"/>
                    <a:cs typeface="Times New Roman"/>
                  </a:defRPr>
                </a:pPr>
                <a:r>
                  <a:rPr lang="ru-RU" sz="1400" b="0" i="0" u="none" strike="noStrike" baseline="0">
                    <a:solidFill>
                      <a:srgbClr val="000000"/>
                    </a:solidFill>
                    <a:latin typeface="Times New Roman"/>
                    <a:cs typeface="Times New Roman"/>
                  </a:rPr>
                  <a:t>ln(p/p°)</a:t>
                </a:r>
              </a:p>
            </c:rich>
          </c:tx>
          <c:layout>
            <c:manualLayout>
              <c:xMode val="edge"/>
              <c:yMode val="edge"/>
              <c:x val="0.47620666871478046"/>
              <c:y val="0.95011716526157242"/>
            </c:manualLayout>
          </c:layout>
          <c:overlay val="0"/>
          <c:spPr>
            <a:noFill/>
            <a:ln w="25400">
              <a:noFill/>
            </a:ln>
          </c:spPr>
        </c:title>
        <c:numFmt formatCode="General" sourceLinked="0"/>
        <c:majorTickMark val="out"/>
        <c:minorTickMark val="out"/>
        <c:tickLblPos val="nextTo"/>
        <c:spPr>
          <a:ln w="3175">
            <a:solidFill>
              <a:srgbClr val="000000"/>
            </a:solidFill>
            <a:prstDash val="solid"/>
          </a:ln>
        </c:spPr>
        <c:txPr>
          <a:bodyPr rot="0" vert="horz"/>
          <a:lstStyle/>
          <a:p>
            <a:pPr>
              <a:defRPr sz="1400" b="0" i="0" u="none" strike="noStrike" baseline="0">
                <a:solidFill>
                  <a:srgbClr val="000000"/>
                </a:solidFill>
                <a:latin typeface="Times New Roman"/>
                <a:ea typeface="Times New Roman"/>
                <a:cs typeface="Times New Roman"/>
              </a:defRPr>
            </a:pPr>
            <a:endParaRPr lang="en-US"/>
          </a:p>
        </c:txPr>
        <c:crossAx val="415000840"/>
        <c:crosses val="autoZero"/>
        <c:crossBetween val="midCat"/>
        <c:majorUnit val="2"/>
        <c:minorUnit val="0.5"/>
      </c:valAx>
      <c:valAx>
        <c:axId val="415000840"/>
        <c:scaling>
          <c:orientation val="minMax"/>
          <c:max val="1100"/>
          <c:min val="0"/>
        </c:scaling>
        <c:delete val="0"/>
        <c:axPos val="l"/>
        <c:title>
          <c:tx>
            <c:rich>
              <a:bodyPr/>
              <a:lstStyle/>
              <a:p>
                <a:pPr>
                  <a:defRPr sz="1600" b="0" i="0" u="none" strike="noStrike" baseline="0">
                    <a:solidFill>
                      <a:srgbClr val="000000"/>
                    </a:solidFill>
                    <a:latin typeface="Times New Roman"/>
                    <a:ea typeface="Times New Roman"/>
                    <a:cs typeface="Times New Roman"/>
                  </a:defRPr>
                </a:pPr>
                <a:r>
                  <a:rPr lang="en-US" sz="1400" b="0" i="1" u="none" strike="noStrike" baseline="0">
                    <a:solidFill>
                      <a:srgbClr val="000000"/>
                    </a:solidFill>
                    <a:latin typeface="Times New Roman"/>
                    <a:cs typeface="Times New Roman"/>
                  </a:rPr>
                  <a:t>a,</a:t>
                </a:r>
                <a:r>
                  <a:rPr lang="en-US" sz="1400" b="0" i="0" u="none" strike="noStrike" baseline="0">
                    <a:solidFill>
                      <a:srgbClr val="000000"/>
                    </a:solidFill>
                    <a:latin typeface="Times New Roman"/>
                    <a:cs typeface="Times New Roman"/>
                  </a:rPr>
                  <a:t> mmol/g</a:t>
                </a:r>
                <a:endParaRPr lang="ru-RU" sz="1400" b="0" i="0" u="none" strike="noStrike" baseline="0">
                  <a:solidFill>
                    <a:srgbClr val="000000"/>
                  </a:solidFill>
                  <a:latin typeface="Times New Roman"/>
                  <a:cs typeface="Times New Roman"/>
                </a:endParaRPr>
              </a:p>
            </c:rich>
          </c:tx>
          <c:layout>
            <c:manualLayout>
              <c:xMode val="edge"/>
              <c:yMode val="edge"/>
              <c:x val="0.94514106583072099"/>
              <c:y val="0.33949945593035907"/>
            </c:manualLayout>
          </c:layout>
          <c:overlay val="0"/>
          <c:spPr>
            <a:noFill/>
            <a:ln w="25400">
              <a:noFill/>
            </a:ln>
          </c:spPr>
        </c:title>
        <c:numFmt formatCode="General" sourceLinked="0"/>
        <c:majorTickMark val="in"/>
        <c:minorTickMark val="in"/>
        <c:tickLblPos val="high"/>
        <c:spPr>
          <a:ln w="3175">
            <a:solidFill>
              <a:srgbClr val="000000"/>
            </a:solidFill>
            <a:prstDash val="solid"/>
          </a:ln>
        </c:spPr>
        <c:txPr>
          <a:bodyPr rot="0" vert="horz"/>
          <a:lstStyle/>
          <a:p>
            <a:pPr>
              <a:defRPr sz="1400" b="0" i="0" u="none" strike="noStrike" baseline="0">
                <a:solidFill>
                  <a:srgbClr val="000000"/>
                </a:solidFill>
                <a:latin typeface="Times New Roman"/>
                <a:ea typeface="Times New Roman"/>
                <a:cs typeface="Times New Roman"/>
              </a:defRPr>
            </a:pPr>
            <a:endParaRPr lang="en-US"/>
          </a:p>
        </c:txPr>
        <c:crossAx val="415000448"/>
        <c:crosses val="autoZero"/>
        <c:crossBetween val="midCat"/>
        <c:majorUnit val="250"/>
        <c:minorUnit val="50"/>
        <c:dispUnits>
          <c:builtInUnit val="thousands"/>
        </c:dispUnits>
      </c:valAx>
      <c:spPr>
        <a:noFill/>
        <a:ln w="25400">
          <a:noFill/>
        </a:ln>
      </c:spPr>
    </c:plotArea>
    <c:plotVisOnly val="1"/>
    <c:dispBlanksAs val="gap"/>
    <c:showDLblsOverMax val="0"/>
  </c:chart>
  <c:spPr>
    <a:noFill/>
    <a:ln w="9525">
      <a:noFill/>
    </a:ln>
  </c:spPr>
  <c:txPr>
    <a:bodyPr/>
    <a:lstStyle/>
    <a:p>
      <a:pPr>
        <a:defRPr sz="1600" b="0" i="0" u="none" strike="noStrike" baseline="0">
          <a:solidFill>
            <a:srgbClr val="000000"/>
          </a:solidFill>
          <a:latin typeface="Times New Roman"/>
          <a:ea typeface="Times New Roman"/>
          <a:cs typeface="Times New Roman"/>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041642378131963"/>
          <c:y val="4.463276836158192E-2"/>
          <c:w val="0.82580212571242162"/>
          <c:h val="0.78135593220338984"/>
        </c:manualLayout>
      </c:layout>
      <c:scatterChart>
        <c:scatterStyle val="smoothMarker"/>
        <c:varyColors val="0"/>
        <c:ser>
          <c:idx val="1"/>
          <c:order val="0"/>
          <c:spPr>
            <a:ln w="19050">
              <a:solidFill>
                <a:srgbClr val="FF0000"/>
              </a:solidFill>
              <a:prstDash val="solid"/>
            </a:ln>
          </c:spPr>
          <c:marker>
            <c:symbol val="triangle"/>
            <c:size val="7"/>
            <c:spPr>
              <a:solidFill>
                <a:srgbClr val="00B0F0"/>
              </a:solidFill>
              <a:ln w="12700">
                <a:solidFill>
                  <a:srgbClr val="000000"/>
                </a:solidFill>
              </a:ln>
            </c:spPr>
          </c:marker>
          <c:xVal>
            <c:numRef>
              <c:f>Таблица!$B$5:$B$42</c:f>
              <c:numCache>
                <c:formatCode>0.000</c:formatCode>
                <c:ptCount val="38"/>
                <c:pt idx="0">
                  <c:v>8.0000000000000002E-3</c:v>
                </c:pt>
                <c:pt idx="1">
                  <c:v>1.9100000000000002E-2</c:v>
                </c:pt>
                <c:pt idx="2">
                  <c:v>2.5700000000000001E-2</c:v>
                </c:pt>
                <c:pt idx="3">
                  <c:v>4.1700000000000001E-2</c:v>
                </c:pt>
                <c:pt idx="4">
                  <c:v>5.9500000000000004E-2</c:v>
                </c:pt>
                <c:pt idx="5">
                  <c:v>0.10590000000000001</c:v>
                </c:pt>
                <c:pt idx="6">
                  <c:v>0.1492</c:v>
                </c:pt>
                <c:pt idx="7">
                  <c:v>0.1893</c:v>
                </c:pt>
                <c:pt idx="8">
                  <c:v>0.2278</c:v>
                </c:pt>
                <c:pt idx="9">
                  <c:v>0.28320000000000001</c:v>
                </c:pt>
                <c:pt idx="10">
                  <c:v>0.32569999999999999</c:v>
                </c:pt>
                <c:pt idx="11">
                  <c:v>0.36899999999999999</c:v>
                </c:pt>
                <c:pt idx="12">
                  <c:v>0.40590000000000004</c:v>
                </c:pt>
                <c:pt idx="13">
                  <c:v>0.44359999999999999</c:v>
                </c:pt>
                <c:pt idx="14">
                  <c:v>0.4829</c:v>
                </c:pt>
                <c:pt idx="15">
                  <c:v>0.5262</c:v>
                </c:pt>
                <c:pt idx="16">
                  <c:v>0.56710000000000005</c:v>
                </c:pt>
                <c:pt idx="17">
                  <c:v>0.60880000000000001</c:v>
                </c:pt>
                <c:pt idx="18">
                  <c:v>0.66600000000000004</c:v>
                </c:pt>
                <c:pt idx="19">
                  <c:v>0.72599999999999998</c:v>
                </c:pt>
                <c:pt idx="20">
                  <c:v>0.78</c:v>
                </c:pt>
                <c:pt idx="21">
                  <c:v>0.82</c:v>
                </c:pt>
                <c:pt idx="22">
                  <c:v>0.86299999999999999</c:v>
                </c:pt>
                <c:pt idx="23">
                  <c:v>0.90600000000000003</c:v>
                </c:pt>
                <c:pt idx="24">
                  <c:v>0.95130000000000003</c:v>
                </c:pt>
                <c:pt idx="25">
                  <c:v>0.98299999999999998</c:v>
                </c:pt>
                <c:pt idx="26">
                  <c:v>1.05</c:v>
                </c:pt>
                <c:pt idx="27">
                  <c:v>1.1200000000000001</c:v>
                </c:pt>
                <c:pt idx="28">
                  <c:v>1.19</c:v>
                </c:pt>
              </c:numCache>
            </c:numRef>
          </c:xVal>
          <c:yVal>
            <c:numRef>
              <c:f>Таблица!$D$5:$D$42</c:f>
              <c:numCache>
                <c:formatCode>0.00</c:formatCode>
                <c:ptCount val="38"/>
                <c:pt idx="0">
                  <c:v>98.5</c:v>
                </c:pt>
                <c:pt idx="1">
                  <c:v>87.6</c:v>
                </c:pt>
                <c:pt idx="2">
                  <c:v>80.8</c:v>
                </c:pt>
                <c:pt idx="3">
                  <c:v>67.8</c:v>
                </c:pt>
                <c:pt idx="4">
                  <c:v>55.6</c:v>
                </c:pt>
                <c:pt idx="5">
                  <c:v>53.7</c:v>
                </c:pt>
                <c:pt idx="6">
                  <c:v>54.5</c:v>
                </c:pt>
                <c:pt idx="7">
                  <c:v>54.1</c:v>
                </c:pt>
                <c:pt idx="8">
                  <c:v>53.8</c:v>
                </c:pt>
                <c:pt idx="9">
                  <c:v>53.5</c:v>
                </c:pt>
                <c:pt idx="10">
                  <c:v>52.7</c:v>
                </c:pt>
                <c:pt idx="11">
                  <c:v>51.1</c:v>
                </c:pt>
                <c:pt idx="12">
                  <c:v>46.7</c:v>
                </c:pt>
                <c:pt idx="13">
                  <c:v>47.2</c:v>
                </c:pt>
                <c:pt idx="14">
                  <c:v>47.6</c:v>
                </c:pt>
                <c:pt idx="15">
                  <c:v>47.3</c:v>
                </c:pt>
                <c:pt idx="16">
                  <c:v>47</c:v>
                </c:pt>
                <c:pt idx="17">
                  <c:v>41.6</c:v>
                </c:pt>
                <c:pt idx="18">
                  <c:v>42.8</c:v>
                </c:pt>
                <c:pt idx="19">
                  <c:v>43.7</c:v>
                </c:pt>
                <c:pt idx="20">
                  <c:v>44</c:v>
                </c:pt>
                <c:pt idx="21">
                  <c:v>44</c:v>
                </c:pt>
                <c:pt idx="22">
                  <c:v>44</c:v>
                </c:pt>
                <c:pt idx="23">
                  <c:v>43.9</c:v>
                </c:pt>
                <c:pt idx="24">
                  <c:v>43.3</c:v>
                </c:pt>
                <c:pt idx="25">
                  <c:v>38.700000000000003</c:v>
                </c:pt>
              </c:numCache>
            </c:numRef>
          </c:yVal>
          <c:smooth val="1"/>
          <c:extLst>
            <c:ext xmlns:c16="http://schemas.microsoft.com/office/drawing/2014/chart" uri="{C3380CC4-5D6E-409C-BE32-E72D297353CC}">
              <c16:uniqueId val="{00000000-B300-4E33-814B-9017034D51EB}"/>
            </c:ext>
          </c:extLst>
        </c:ser>
        <c:ser>
          <c:idx val="3"/>
          <c:order val="1"/>
          <c:spPr>
            <a:ln w="12700">
              <a:solidFill>
                <a:srgbClr val="000000"/>
              </a:solidFill>
              <a:prstDash val="sysDash"/>
            </a:ln>
          </c:spPr>
          <c:marker>
            <c:spPr>
              <a:noFill/>
              <a:ln w="9525">
                <a:noFill/>
              </a:ln>
            </c:spPr>
          </c:marker>
          <c:xVal>
            <c:numRef>
              <c:f>Таблица!$C$5:$C$42</c:f>
              <c:numCache>
                <c:formatCode>0.00</c:formatCode>
                <c:ptCount val="38"/>
                <c:pt idx="0">
                  <c:v>4.6954187200000108E-2</c:v>
                </c:pt>
                <c:pt idx="1">
                  <c:v>7.1108584452936385E-2</c:v>
                </c:pt>
                <c:pt idx="2">
                  <c:v>6.0372397452412158E-2</c:v>
                </c:pt>
                <c:pt idx="3">
                  <c:v>5.0973029146540838E-2</c:v>
                </c:pt>
                <c:pt idx="4">
                  <c:v>4.3620362583088032E-2</c:v>
                </c:pt>
                <c:pt idx="5">
                  <c:v>3.3350704256312341E-2</c:v>
                </c:pt>
                <c:pt idx="6">
                  <c:v>-5.4292491058017742E-4</c:v>
                </c:pt>
                <c:pt idx="7">
                  <c:v>2.4992757268302167E-3</c:v>
                </c:pt>
                <c:pt idx="8">
                  <c:v>-9.2682015530613695E-3</c:v>
                </c:pt>
                <c:pt idx="9">
                  <c:v>-2.6119928084329065E-2</c:v>
                </c:pt>
                <c:pt idx="10">
                  <c:v>-4.8975558672838787E-2</c:v>
                </c:pt>
                <c:pt idx="11">
                  <c:v>-0.17621952640600791</c:v>
                </c:pt>
                <c:pt idx="12">
                  <c:v>-0.17251126932605343</c:v>
                </c:pt>
                <c:pt idx="13">
                  <c:v>-0.20242534108090451</c:v>
                </c:pt>
                <c:pt idx="14">
                  <c:v>8.7290641466033006E-2</c:v>
                </c:pt>
                <c:pt idx="15">
                  <c:v>0.26050637671461263</c:v>
                </c:pt>
                <c:pt idx="16">
                  <c:v>0.36909321910542203</c:v>
                </c:pt>
                <c:pt idx="17">
                  <c:v>0.46058892301528775</c:v>
                </c:pt>
                <c:pt idx="18">
                  <c:v>0.51656593956513674</c:v>
                </c:pt>
                <c:pt idx="19">
                  <c:v>0.58559775040658479</c:v>
                </c:pt>
                <c:pt idx="20">
                  <c:v>0.65395843436070078</c:v>
                </c:pt>
                <c:pt idx="21">
                  <c:v>0.72078978871269328</c:v>
                </c:pt>
                <c:pt idx="22">
                  <c:v>0.8591082157113008</c:v>
                </c:pt>
                <c:pt idx="23">
                  <c:v>1.2439865835171764</c:v>
                </c:pt>
                <c:pt idx="24">
                  <c:v>2.0561043481403605</c:v>
                </c:pt>
                <c:pt idx="25">
                  <c:v>3.1456653909800871</c:v>
                </c:pt>
              </c:numCache>
            </c:numRef>
          </c:xVal>
          <c:yVal>
            <c:numRef>
              <c:f>Таблица!$R$5:$R$42</c:f>
              <c:numCache>
                <c:formatCode>0.00</c:formatCode>
                <c:ptCount val="38"/>
                <c:pt idx="0">
                  <c:v>36.130000000000003</c:v>
                </c:pt>
                <c:pt idx="1">
                  <c:v>36.130000000000003</c:v>
                </c:pt>
                <c:pt idx="2">
                  <c:v>36.130000000000003</c:v>
                </c:pt>
                <c:pt idx="3">
                  <c:v>36.130000000000003</c:v>
                </c:pt>
                <c:pt idx="4">
                  <c:v>36.130000000000003</c:v>
                </c:pt>
                <c:pt idx="5">
                  <c:v>36.130000000000003</c:v>
                </c:pt>
                <c:pt idx="6">
                  <c:v>36.130000000000003</c:v>
                </c:pt>
                <c:pt idx="7">
                  <c:v>36.130000000000003</c:v>
                </c:pt>
                <c:pt idx="8">
                  <c:v>36.130000000000003</c:v>
                </c:pt>
                <c:pt idx="9">
                  <c:v>36.130000000000003</c:v>
                </c:pt>
                <c:pt idx="10">
                  <c:v>36.130000000000003</c:v>
                </c:pt>
                <c:pt idx="11">
                  <c:v>36.130000000000003</c:v>
                </c:pt>
                <c:pt idx="12">
                  <c:v>36.130000000000003</c:v>
                </c:pt>
                <c:pt idx="13">
                  <c:v>36.130000000000003</c:v>
                </c:pt>
                <c:pt idx="14">
                  <c:v>36.130000000000003</c:v>
                </c:pt>
                <c:pt idx="15">
                  <c:v>36.130000000000003</c:v>
                </c:pt>
                <c:pt idx="16">
                  <c:v>36.130000000000003</c:v>
                </c:pt>
                <c:pt idx="17">
                  <c:v>36.130000000000003</c:v>
                </c:pt>
                <c:pt idx="18">
                  <c:v>36.130000000000003</c:v>
                </c:pt>
                <c:pt idx="19">
                  <c:v>36.130000000000003</c:v>
                </c:pt>
                <c:pt idx="20">
                  <c:v>36.130000000000003</c:v>
                </c:pt>
                <c:pt idx="21">
                  <c:v>36.130000000000003</c:v>
                </c:pt>
                <c:pt idx="22">
                  <c:v>36.130000000000003</c:v>
                </c:pt>
                <c:pt idx="23">
                  <c:v>36.130000000000003</c:v>
                </c:pt>
                <c:pt idx="24">
                  <c:v>36.130000000000003</c:v>
                </c:pt>
                <c:pt idx="25">
                  <c:v>36.130000000000003</c:v>
                </c:pt>
              </c:numCache>
            </c:numRef>
          </c:yVal>
          <c:smooth val="1"/>
          <c:extLst>
            <c:ext xmlns:c16="http://schemas.microsoft.com/office/drawing/2014/chart" uri="{C3380CC4-5D6E-409C-BE32-E72D297353CC}">
              <c16:uniqueId val="{00000001-B300-4E33-814B-9017034D51EB}"/>
            </c:ext>
          </c:extLst>
        </c:ser>
        <c:dLbls>
          <c:showLegendKey val="0"/>
          <c:showVal val="0"/>
          <c:showCatName val="0"/>
          <c:showSerName val="0"/>
          <c:showPercent val="0"/>
          <c:showBubbleSize val="0"/>
        </c:dLbls>
        <c:axId val="568917568"/>
        <c:axId val="568916784"/>
      </c:scatterChart>
      <c:valAx>
        <c:axId val="568917568"/>
        <c:scaling>
          <c:orientation val="minMax"/>
          <c:max val="1"/>
          <c:min val="0"/>
        </c:scaling>
        <c:delete val="0"/>
        <c:axPos val="b"/>
        <c:title>
          <c:tx>
            <c:rich>
              <a:bodyPr/>
              <a:lstStyle/>
              <a:p>
                <a:pPr>
                  <a:defRPr sz="500" b="0" i="0" u="none" strike="noStrike" baseline="0">
                    <a:solidFill>
                      <a:srgbClr val="000000"/>
                    </a:solidFill>
                    <a:latin typeface="Arial Cyr"/>
                    <a:ea typeface="Arial Cyr"/>
                    <a:cs typeface="Arial Cyr"/>
                  </a:defRPr>
                </a:pPr>
                <a:r>
                  <a:rPr lang="ru-RU" sz="1400" b="0" i="1" u="none" strike="noStrike" baseline="0">
                    <a:solidFill>
                      <a:srgbClr val="000000"/>
                    </a:solidFill>
                    <a:latin typeface="Times New Roman"/>
                    <a:cs typeface="Times New Roman"/>
                  </a:rPr>
                  <a:t>а, </a:t>
                </a:r>
                <a:r>
                  <a:rPr lang="en-US" sz="1400" b="0" i="0" u="none" strike="noStrike" baseline="0">
                    <a:solidFill>
                      <a:srgbClr val="000000"/>
                    </a:solidFill>
                    <a:latin typeface="Times New Roman"/>
                    <a:cs typeface="Times New Roman"/>
                  </a:rPr>
                  <a:t>mmol/g</a:t>
                </a:r>
                <a:endParaRPr lang="ru-RU" sz="1400" b="0" i="0" u="none" strike="noStrike" baseline="0">
                  <a:solidFill>
                    <a:srgbClr val="000000"/>
                  </a:solidFill>
                  <a:latin typeface="Times New Roman"/>
                  <a:cs typeface="Times New Roman"/>
                </a:endParaRPr>
              </a:p>
            </c:rich>
          </c:tx>
          <c:layout>
            <c:manualLayout>
              <c:xMode val="edge"/>
              <c:yMode val="edge"/>
              <c:x val="0.82444976579958507"/>
              <c:y val="0.92692010153005966"/>
            </c:manualLayout>
          </c:layout>
          <c:overlay val="0"/>
          <c:spPr>
            <a:noFill/>
            <a:ln w="25400">
              <a:noFill/>
            </a:ln>
          </c:spPr>
        </c:title>
        <c:numFmt formatCode="General" sourceLinked="0"/>
        <c:majorTickMark val="out"/>
        <c:minorTickMark val="out"/>
        <c:tickLblPos val="nextTo"/>
        <c:spPr>
          <a:ln w="3175">
            <a:solidFill>
              <a:srgbClr val="000000"/>
            </a:solidFill>
            <a:prstDash val="solid"/>
          </a:ln>
        </c:spPr>
        <c:txPr>
          <a:bodyPr rot="0" vert="horz"/>
          <a:lstStyle/>
          <a:p>
            <a:pPr>
              <a:defRPr sz="1400" b="0" i="0" u="none" strike="noStrike" baseline="0">
                <a:solidFill>
                  <a:srgbClr val="000000"/>
                </a:solidFill>
                <a:latin typeface="Times New Roman"/>
                <a:ea typeface="Times New Roman"/>
                <a:cs typeface="Times New Roman"/>
              </a:defRPr>
            </a:pPr>
            <a:endParaRPr lang="en-US"/>
          </a:p>
        </c:txPr>
        <c:crossAx val="568916784"/>
        <c:crosses val="autoZero"/>
        <c:crossBetween val="midCat"/>
        <c:minorUnit val="0.05"/>
      </c:valAx>
      <c:valAx>
        <c:axId val="568916784"/>
        <c:scaling>
          <c:orientation val="minMax"/>
        </c:scaling>
        <c:delete val="0"/>
        <c:axPos val="l"/>
        <c:title>
          <c:tx>
            <c:rich>
              <a:bodyPr/>
              <a:lstStyle/>
              <a:p>
                <a:pPr>
                  <a:defRPr sz="500" b="0" i="0" u="none" strike="noStrike" baseline="0">
                    <a:solidFill>
                      <a:srgbClr val="000000"/>
                    </a:solidFill>
                    <a:latin typeface="Arial Cyr"/>
                    <a:ea typeface="Arial Cyr"/>
                    <a:cs typeface="Arial Cyr"/>
                  </a:defRPr>
                </a:pPr>
                <a:r>
                  <a:rPr lang="ru-RU" sz="1400" b="0" i="1" u="none" strike="noStrike" baseline="0">
                    <a:solidFill>
                      <a:srgbClr val="000000"/>
                    </a:solidFill>
                    <a:latin typeface="Times New Roman"/>
                    <a:cs typeface="Times New Roman"/>
                  </a:rPr>
                  <a:t>Q</a:t>
                </a:r>
                <a:r>
                  <a:rPr lang="ru-RU" sz="1400" b="0" i="1" u="none" strike="noStrike" baseline="-25000">
                    <a:solidFill>
                      <a:srgbClr val="000000"/>
                    </a:solidFill>
                    <a:latin typeface="Times New Roman"/>
                    <a:cs typeface="Times New Roman"/>
                  </a:rPr>
                  <a:t>d</a:t>
                </a:r>
                <a:r>
                  <a:rPr lang="ru-RU" sz="2025" b="0" i="1" u="none" strike="noStrike" baseline="0">
                    <a:solidFill>
                      <a:srgbClr val="000000"/>
                    </a:solidFill>
                    <a:latin typeface="Times New Roman"/>
                    <a:cs typeface="Times New Roman"/>
                  </a:rPr>
                  <a:t>,</a:t>
                </a:r>
                <a:r>
                  <a:rPr lang="ru-RU" sz="2025" b="0" i="1" u="none" strike="noStrike" baseline="-25000">
                    <a:solidFill>
                      <a:srgbClr val="000000"/>
                    </a:solidFill>
                    <a:latin typeface="Times New Roman"/>
                    <a:cs typeface="Times New Roman"/>
                  </a:rPr>
                  <a:t> </a:t>
                </a:r>
                <a:r>
                  <a:rPr lang="en-US" sz="1400" b="0" i="0" u="none" strike="noStrike" baseline="0">
                    <a:solidFill>
                      <a:srgbClr val="000000"/>
                    </a:solidFill>
                    <a:latin typeface="Times New Roman"/>
                    <a:cs typeface="Times New Roman"/>
                  </a:rPr>
                  <a:t>kJ/mol</a:t>
                </a:r>
                <a:endParaRPr lang="ru-RU" sz="1400" b="0" i="0" u="none" strike="noStrike" baseline="0">
                  <a:solidFill>
                    <a:srgbClr val="000000"/>
                  </a:solidFill>
                  <a:latin typeface="Times New Roman"/>
                  <a:cs typeface="Times New Roman"/>
                </a:endParaRPr>
              </a:p>
            </c:rich>
          </c:tx>
          <c:layout>
            <c:manualLayout>
              <c:xMode val="edge"/>
              <c:yMode val="edge"/>
              <c:x val="0"/>
              <c:y val="0.31525423728813562"/>
            </c:manualLayout>
          </c:layout>
          <c:overlay val="0"/>
          <c:spPr>
            <a:noFill/>
            <a:ln w="25400">
              <a:noFill/>
            </a:ln>
          </c:spPr>
        </c:title>
        <c:numFmt formatCode="General" sourceLinked="0"/>
        <c:majorTickMark val="out"/>
        <c:minorTickMark val="out"/>
        <c:tickLblPos val="nextTo"/>
        <c:spPr>
          <a:ln w="3175">
            <a:solidFill>
              <a:srgbClr val="000000"/>
            </a:solidFill>
            <a:prstDash val="solid"/>
          </a:ln>
        </c:spPr>
        <c:txPr>
          <a:bodyPr rot="0" vert="horz"/>
          <a:lstStyle/>
          <a:p>
            <a:pPr>
              <a:defRPr sz="1400" b="0" i="0" u="none" strike="noStrike" baseline="0">
                <a:solidFill>
                  <a:srgbClr val="000000"/>
                </a:solidFill>
                <a:latin typeface="Times New Roman"/>
                <a:ea typeface="Times New Roman"/>
                <a:cs typeface="Times New Roman"/>
              </a:defRPr>
            </a:pPr>
            <a:endParaRPr lang="en-US"/>
          </a:p>
        </c:txPr>
        <c:crossAx val="568917568"/>
        <c:crosses val="autoZero"/>
        <c:crossBetween val="midCat"/>
        <c:majorUnit val="20"/>
      </c:valAx>
    </c:plotArea>
    <c:plotVisOnly val="1"/>
    <c:dispBlanksAs val="gap"/>
    <c:showDLblsOverMax val="0"/>
  </c:chart>
  <c:spPr>
    <a:noFill/>
    <a:ln w="9525">
      <a:noFill/>
    </a:ln>
  </c:spPr>
  <c:txPr>
    <a:bodyPr/>
    <a:lstStyle/>
    <a:p>
      <a:pPr>
        <a:defRPr sz="500" b="0" i="0" u="none" strike="noStrike" baseline="0">
          <a:solidFill>
            <a:srgbClr val="000000"/>
          </a:solidFill>
          <a:latin typeface="Arial Cyr"/>
          <a:ea typeface="Arial Cyr"/>
          <a:cs typeface="Arial Cyr"/>
        </a:defRPr>
      </a:pPr>
      <a:endParaRPr lang="en-US"/>
    </a:p>
  </c:tx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6001771889166866"/>
          <c:y val="4.4067796610169491E-2"/>
          <c:w val="0.81471296337990995"/>
          <c:h val="0.89604519774011304"/>
        </c:manualLayout>
      </c:layout>
      <c:scatterChart>
        <c:scatterStyle val="smoothMarker"/>
        <c:varyColors val="0"/>
        <c:ser>
          <c:idx val="4"/>
          <c:order val="0"/>
          <c:spPr>
            <a:ln w="12700">
              <a:solidFill>
                <a:srgbClr val="333333"/>
              </a:solidFill>
              <a:prstDash val="sysDash"/>
            </a:ln>
          </c:spPr>
          <c:marker>
            <c:symbol val="none"/>
          </c:marker>
          <c:xVal>
            <c:numRef>
              <c:f>Таблица!$B$4:$B$43</c:f>
              <c:numCache>
                <c:formatCode>0.000</c:formatCode>
                <c:ptCount val="40"/>
                <c:pt idx="1">
                  <c:v>8.0000000000000002E-3</c:v>
                </c:pt>
                <c:pt idx="2">
                  <c:v>1.9100000000000002E-2</c:v>
                </c:pt>
                <c:pt idx="3">
                  <c:v>2.5700000000000001E-2</c:v>
                </c:pt>
                <c:pt idx="4">
                  <c:v>4.1700000000000001E-2</c:v>
                </c:pt>
                <c:pt idx="5">
                  <c:v>5.9500000000000004E-2</c:v>
                </c:pt>
                <c:pt idx="6">
                  <c:v>0.10590000000000001</c:v>
                </c:pt>
                <c:pt idx="7">
                  <c:v>0.1492</c:v>
                </c:pt>
                <c:pt idx="8">
                  <c:v>0.1893</c:v>
                </c:pt>
                <c:pt idx="9">
                  <c:v>0.2278</c:v>
                </c:pt>
                <c:pt idx="10">
                  <c:v>0.28320000000000001</c:v>
                </c:pt>
                <c:pt idx="11">
                  <c:v>0.32569999999999999</c:v>
                </c:pt>
                <c:pt idx="12">
                  <c:v>0.36899999999999999</c:v>
                </c:pt>
                <c:pt idx="13">
                  <c:v>0.40590000000000004</c:v>
                </c:pt>
                <c:pt idx="14">
                  <c:v>0.44359999999999999</c:v>
                </c:pt>
                <c:pt idx="15">
                  <c:v>0.4829</c:v>
                </c:pt>
                <c:pt idx="16">
                  <c:v>0.5262</c:v>
                </c:pt>
                <c:pt idx="17">
                  <c:v>0.56710000000000005</c:v>
                </c:pt>
                <c:pt idx="18">
                  <c:v>0.60880000000000001</c:v>
                </c:pt>
                <c:pt idx="19">
                  <c:v>0.66600000000000004</c:v>
                </c:pt>
                <c:pt idx="20">
                  <c:v>0.72599999999999998</c:v>
                </c:pt>
                <c:pt idx="21">
                  <c:v>0.78</c:v>
                </c:pt>
                <c:pt idx="22">
                  <c:v>0.82</c:v>
                </c:pt>
                <c:pt idx="23">
                  <c:v>0.86299999999999999</c:v>
                </c:pt>
                <c:pt idx="24">
                  <c:v>0.90600000000000003</c:v>
                </c:pt>
                <c:pt idx="25">
                  <c:v>0.95130000000000003</c:v>
                </c:pt>
                <c:pt idx="26">
                  <c:v>0.98299999999999998</c:v>
                </c:pt>
                <c:pt idx="27">
                  <c:v>1.05</c:v>
                </c:pt>
                <c:pt idx="28">
                  <c:v>1.1200000000000001</c:v>
                </c:pt>
                <c:pt idx="29">
                  <c:v>1.19</c:v>
                </c:pt>
              </c:numCache>
            </c:numRef>
          </c:xVal>
          <c:yVal>
            <c:numRef>
              <c:f>Таблица!$K$4:$K$43</c:f>
              <c:numCache>
                <c:formatCode>0.00</c:formatCode>
                <c:ptCount val="40"/>
                <c:pt idx="0">
                  <c:v>-58.195226341861073</c:v>
                </c:pt>
                <c:pt idx="1">
                  <c:v>-58.195226341861073</c:v>
                </c:pt>
                <c:pt idx="2">
                  <c:v>-58.195226341861073</c:v>
                </c:pt>
                <c:pt idx="3">
                  <c:v>-58.195226341861073</c:v>
                </c:pt>
                <c:pt idx="4">
                  <c:v>-58.195226341861073</c:v>
                </c:pt>
                <c:pt idx="5">
                  <c:v>-58.195226341861073</c:v>
                </c:pt>
                <c:pt idx="6">
                  <c:v>-58.195226341861073</c:v>
                </c:pt>
                <c:pt idx="7">
                  <c:v>-58.195226341861073</c:v>
                </c:pt>
                <c:pt idx="8">
                  <c:v>-58.195226341861073</c:v>
                </c:pt>
                <c:pt idx="9">
                  <c:v>-58.195226341861073</c:v>
                </c:pt>
                <c:pt idx="10">
                  <c:v>-58.195226341861073</c:v>
                </c:pt>
                <c:pt idx="11">
                  <c:v>-58.195226341861073</c:v>
                </c:pt>
                <c:pt idx="12">
                  <c:v>-58.195226341861073</c:v>
                </c:pt>
                <c:pt idx="13">
                  <c:v>-58.195226341861073</c:v>
                </c:pt>
                <c:pt idx="14">
                  <c:v>-58.195226341861073</c:v>
                </c:pt>
                <c:pt idx="15">
                  <c:v>-58.195226341861073</c:v>
                </c:pt>
                <c:pt idx="16">
                  <c:v>-58.195226341861073</c:v>
                </c:pt>
                <c:pt idx="17">
                  <c:v>-58.195226341861073</c:v>
                </c:pt>
                <c:pt idx="18">
                  <c:v>-58.195226341861073</c:v>
                </c:pt>
                <c:pt idx="19">
                  <c:v>-58.195226341861073</c:v>
                </c:pt>
                <c:pt idx="20">
                  <c:v>-58.195226341861073</c:v>
                </c:pt>
                <c:pt idx="21">
                  <c:v>-58.195226341861073</c:v>
                </c:pt>
                <c:pt idx="22">
                  <c:v>-58.195226341861073</c:v>
                </c:pt>
                <c:pt idx="23">
                  <c:v>-58.195226341861073</c:v>
                </c:pt>
                <c:pt idx="24">
                  <c:v>-58.195226341861073</c:v>
                </c:pt>
                <c:pt idx="25">
                  <c:v>-58.195226341861073</c:v>
                </c:pt>
                <c:pt idx="26">
                  <c:v>-58.195226341861073</c:v>
                </c:pt>
              </c:numCache>
            </c:numRef>
          </c:yVal>
          <c:smooth val="1"/>
          <c:extLst>
            <c:ext xmlns:c16="http://schemas.microsoft.com/office/drawing/2014/chart" uri="{C3380CC4-5D6E-409C-BE32-E72D297353CC}">
              <c16:uniqueId val="{00000000-1C23-4F2C-97C6-FC5168E2CC43}"/>
            </c:ext>
          </c:extLst>
        </c:ser>
        <c:ser>
          <c:idx val="0"/>
          <c:order val="1"/>
          <c:spPr>
            <a:ln w="12700">
              <a:solidFill>
                <a:srgbClr val="333333"/>
              </a:solidFill>
              <a:prstDash val="solid"/>
            </a:ln>
          </c:spPr>
          <c:marker>
            <c:symbol val="none"/>
          </c:marker>
          <c:xVal>
            <c:numRef>
              <c:f>Таблица!$B$5:$B$42</c:f>
              <c:numCache>
                <c:formatCode>0.000</c:formatCode>
                <c:ptCount val="38"/>
                <c:pt idx="0">
                  <c:v>8.0000000000000002E-3</c:v>
                </c:pt>
                <c:pt idx="1">
                  <c:v>1.9100000000000002E-2</c:v>
                </c:pt>
                <c:pt idx="2">
                  <c:v>2.5700000000000001E-2</c:v>
                </c:pt>
                <c:pt idx="3">
                  <c:v>4.1700000000000001E-2</c:v>
                </c:pt>
                <c:pt idx="4">
                  <c:v>5.9500000000000004E-2</c:v>
                </c:pt>
                <c:pt idx="5">
                  <c:v>0.10590000000000001</c:v>
                </c:pt>
                <c:pt idx="6">
                  <c:v>0.1492</c:v>
                </c:pt>
                <c:pt idx="7">
                  <c:v>0.1893</c:v>
                </c:pt>
                <c:pt idx="8">
                  <c:v>0.2278</c:v>
                </c:pt>
                <c:pt idx="9">
                  <c:v>0.28320000000000001</c:v>
                </c:pt>
                <c:pt idx="10">
                  <c:v>0.32569999999999999</c:v>
                </c:pt>
                <c:pt idx="11">
                  <c:v>0.36899999999999999</c:v>
                </c:pt>
                <c:pt idx="12">
                  <c:v>0.40590000000000004</c:v>
                </c:pt>
                <c:pt idx="13">
                  <c:v>0.44359999999999999</c:v>
                </c:pt>
                <c:pt idx="14">
                  <c:v>0.4829</c:v>
                </c:pt>
                <c:pt idx="15">
                  <c:v>0.5262</c:v>
                </c:pt>
                <c:pt idx="16">
                  <c:v>0.56710000000000005</c:v>
                </c:pt>
                <c:pt idx="17">
                  <c:v>0.60880000000000001</c:v>
                </c:pt>
                <c:pt idx="18">
                  <c:v>0.66600000000000004</c:v>
                </c:pt>
                <c:pt idx="19">
                  <c:v>0.72599999999999998</c:v>
                </c:pt>
                <c:pt idx="20">
                  <c:v>0.78</c:v>
                </c:pt>
                <c:pt idx="21">
                  <c:v>0.82</c:v>
                </c:pt>
                <c:pt idx="22">
                  <c:v>0.86299999999999999</c:v>
                </c:pt>
                <c:pt idx="23">
                  <c:v>0.90600000000000003</c:v>
                </c:pt>
                <c:pt idx="24">
                  <c:v>0.95130000000000003</c:v>
                </c:pt>
                <c:pt idx="25">
                  <c:v>0.98299999999999998</c:v>
                </c:pt>
                <c:pt idx="26">
                  <c:v>1.05</c:v>
                </c:pt>
                <c:pt idx="27">
                  <c:v>1.1200000000000001</c:v>
                </c:pt>
                <c:pt idx="28">
                  <c:v>1.19</c:v>
                </c:pt>
              </c:numCache>
            </c:numRef>
          </c:xVal>
          <c:yVal>
            <c:numRef>
              <c:f>Таблица!$J$5:$J$42</c:f>
              <c:numCache>
                <c:formatCode>0.00</c:formatCode>
                <c:ptCount val="38"/>
                <c:pt idx="0">
                  <c:v>38.952516677695158</c:v>
                </c:pt>
                <c:pt idx="1">
                  <c:v>-110.25</c:v>
                </c:pt>
                <c:pt idx="2">
                  <c:v>-86.178064686468602</c:v>
                </c:pt>
                <c:pt idx="3">
                  <c:v>-60.324597359735961</c:v>
                </c:pt>
                <c:pt idx="4">
                  <c:v>-24.391238943894393</c:v>
                </c:pt>
                <c:pt idx="5">
                  <c:v>-6.8240122112211301</c:v>
                </c:pt>
                <c:pt idx="6">
                  <c:v>-10.44413069306929</c:v>
                </c:pt>
                <c:pt idx="7">
                  <c:v>-15.674696699669935</c:v>
                </c:pt>
                <c:pt idx="8">
                  <c:v>-18.923881188118813</c:v>
                </c:pt>
                <c:pt idx="9">
                  <c:v>-22.005682178217803</c:v>
                </c:pt>
                <c:pt idx="10">
                  <c:v>-25.096200660066</c:v>
                </c:pt>
                <c:pt idx="11">
                  <c:v>-23.542904620462068</c:v>
                </c:pt>
                <c:pt idx="12">
                  <c:v>-16.965914521452156</c:v>
                </c:pt>
                <c:pt idx="13">
                  <c:v>-13.106370957095697</c:v>
                </c:pt>
                <c:pt idx="14">
                  <c:v>-17.500019471947194</c:v>
                </c:pt>
                <c:pt idx="15">
                  <c:v>-20.074935973597352</c:v>
                </c:pt>
                <c:pt idx="16">
                  <c:v>-22.079236963696399</c:v>
                </c:pt>
                <c:pt idx="17">
                  <c:v>-13.750796369636955</c:v>
                </c:pt>
                <c:pt idx="18">
                  <c:v>-8.6483033003300225</c:v>
                </c:pt>
                <c:pt idx="19">
                  <c:v>-14.108049834983492</c:v>
                </c:pt>
                <c:pt idx="20">
                  <c:v>-17.66714785478548</c:v>
                </c:pt>
                <c:pt idx="21">
                  <c:v>-19.491797359735969</c:v>
                </c:pt>
                <c:pt idx="22">
                  <c:v>-20.821397359735972</c:v>
                </c:pt>
                <c:pt idx="23">
                  <c:v>-22.069080858085808</c:v>
                </c:pt>
                <c:pt idx="24">
                  <c:v>-20.09</c:v>
                </c:pt>
                <c:pt idx="25">
                  <c:v>-14.576807260726055</c:v>
                </c:pt>
                <c:pt idx="26">
                  <c:v>-13.66</c:v>
                </c:pt>
                <c:pt idx="27">
                  <c:v>-13.02</c:v>
                </c:pt>
                <c:pt idx="28">
                  <c:v>-9.8699999999999992</c:v>
                </c:pt>
              </c:numCache>
            </c:numRef>
          </c:yVal>
          <c:smooth val="1"/>
          <c:extLst>
            <c:ext xmlns:c16="http://schemas.microsoft.com/office/drawing/2014/chart" uri="{C3380CC4-5D6E-409C-BE32-E72D297353CC}">
              <c16:uniqueId val="{00000001-1C23-4F2C-97C6-FC5168E2CC43}"/>
            </c:ext>
          </c:extLst>
        </c:ser>
        <c:dLbls>
          <c:showLegendKey val="0"/>
          <c:showVal val="0"/>
          <c:showCatName val="0"/>
          <c:showSerName val="0"/>
          <c:showPercent val="0"/>
          <c:showBubbleSize val="0"/>
        </c:dLbls>
        <c:axId val="568916392"/>
        <c:axId val="568916000"/>
      </c:scatterChart>
      <c:valAx>
        <c:axId val="568916392"/>
        <c:scaling>
          <c:orientation val="minMax"/>
          <c:max val="1"/>
          <c:min val="0"/>
        </c:scaling>
        <c:delete val="0"/>
        <c:axPos val="b"/>
        <c:title>
          <c:tx>
            <c:rich>
              <a:bodyPr/>
              <a:lstStyle/>
              <a:p>
                <a:pPr>
                  <a:defRPr sz="1000" b="0" i="0" u="none" strike="noStrike" baseline="0">
                    <a:solidFill>
                      <a:srgbClr val="000000"/>
                    </a:solidFill>
                    <a:latin typeface="Arial Cyr"/>
                    <a:ea typeface="Arial Cyr"/>
                    <a:cs typeface="Arial Cyr"/>
                  </a:defRPr>
                </a:pPr>
                <a:r>
                  <a:rPr lang="ru-RU" sz="1400" b="0" i="1" u="none" strike="noStrike" baseline="0">
                    <a:solidFill>
                      <a:srgbClr val="000000"/>
                    </a:solidFill>
                    <a:latin typeface="Times New Roman"/>
                    <a:cs typeface="Times New Roman"/>
                  </a:rPr>
                  <a:t>а, </a:t>
                </a:r>
                <a:r>
                  <a:rPr lang="en-US" sz="1400" b="0" i="0" u="none" strike="noStrike" baseline="0">
                    <a:solidFill>
                      <a:srgbClr val="000000"/>
                    </a:solidFill>
                    <a:latin typeface="Times New Roman"/>
                    <a:cs typeface="Times New Roman"/>
                  </a:rPr>
                  <a:t>mmol</a:t>
                </a:r>
                <a:r>
                  <a:rPr lang="ru-RU" sz="1400" b="0" i="0" u="none" strike="noStrike" baseline="0">
                    <a:solidFill>
                      <a:srgbClr val="000000"/>
                    </a:solidFill>
                    <a:latin typeface="Times New Roman"/>
                    <a:cs typeface="Times New Roman"/>
                  </a:rPr>
                  <a:t>/</a:t>
                </a:r>
                <a:r>
                  <a:rPr lang="en-US" sz="1400" b="0" i="0" u="none" strike="noStrike" baseline="0">
                    <a:solidFill>
                      <a:srgbClr val="000000"/>
                    </a:solidFill>
                    <a:latin typeface="Times New Roman"/>
                    <a:cs typeface="Times New Roman"/>
                  </a:rPr>
                  <a:t>g</a:t>
                </a:r>
                <a:endParaRPr lang="ru-RU" sz="1400" b="0" i="0" u="none" strike="noStrike" baseline="0">
                  <a:solidFill>
                    <a:srgbClr val="000000"/>
                  </a:solidFill>
                  <a:latin typeface="Times New Roman"/>
                  <a:cs typeface="Times New Roman"/>
                </a:endParaRPr>
              </a:p>
            </c:rich>
          </c:tx>
          <c:layout>
            <c:manualLayout>
              <c:xMode val="edge"/>
              <c:yMode val="edge"/>
              <c:x val="0.80336296672593333"/>
              <c:y val="0.2221978356469429"/>
            </c:manualLayout>
          </c:layout>
          <c:overlay val="0"/>
          <c:spPr>
            <a:noFill/>
            <a:ln w="25400">
              <a:noFill/>
            </a:ln>
          </c:spPr>
        </c:title>
        <c:numFmt formatCode="General" sourceLinked="0"/>
        <c:majorTickMark val="out"/>
        <c:minorTickMark val="out"/>
        <c:tickLblPos val="nextTo"/>
        <c:spPr>
          <a:ln w="3175">
            <a:solidFill>
              <a:srgbClr val="000000"/>
            </a:solidFill>
            <a:prstDash val="solid"/>
          </a:ln>
        </c:spPr>
        <c:txPr>
          <a:bodyPr rot="0" vert="horz"/>
          <a:lstStyle/>
          <a:p>
            <a:pPr>
              <a:defRPr sz="1400" b="0" i="0" u="none" strike="noStrike" baseline="0">
                <a:solidFill>
                  <a:srgbClr val="000000"/>
                </a:solidFill>
                <a:latin typeface="Times New Roman"/>
                <a:ea typeface="Times New Roman"/>
                <a:cs typeface="Times New Roman"/>
              </a:defRPr>
            </a:pPr>
            <a:endParaRPr lang="en-US"/>
          </a:p>
        </c:txPr>
        <c:crossAx val="568916000"/>
        <c:crosses val="autoZero"/>
        <c:crossBetween val="midCat"/>
        <c:majorUnit val="0.2"/>
        <c:minorUnit val="0.1"/>
      </c:valAx>
      <c:valAx>
        <c:axId val="568916000"/>
        <c:scaling>
          <c:orientation val="minMax"/>
          <c:max val="60"/>
          <c:min val="-120"/>
        </c:scaling>
        <c:delete val="0"/>
        <c:axPos val="l"/>
        <c:title>
          <c:tx>
            <c:rich>
              <a:bodyPr/>
              <a:lstStyle/>
              <a:p>
                <a:pPr>
                  <a:defRPr sz="1400" b="0" i="1" u="none" strike="noStrike" baseline="0">
                    <a:solidFill>
                      <a:srgbClr val="000000"/>
                    </a:solidFill>
                    <a:latin typeface="Symbol"/>
                    <a:ea typeface="Symbol"/>
                    <a:cs typeface="Symbol"/>
                  </a:defRPr>
                </a:pPr>
                <a:r>
                  <a:rPr lang="ru-RU" sz="1400" b="0" i="1" u="none" strike="noStrike" baseline="0">
                    <a:solidFill>
                      <a:srgbClr val="000000"/>
                    </a:solidFill>
                  </a:rPr>
                  <a:t>D</a:t>
                </a:r>
                <a:r>
                  <a:rPr lang="ru-RU" sz="1400" b="0" i="1" u="none" strike="noStrike" baseline="0">
                    <a:solidFill>
                      <a:srgbClr val="000000"/>
                    </a:solidFill>
                    <a:latin typeface="Times New Roman"/>
                    <a:cs typeface="Times New Roman"/>
                  </a:rPr>
                  <a:t>S</a:t>
                </a:r>
                <a:r>
                  <a:rPr lang="ru-RU" sz="1400" b="0" i="1" u="none" strike="noStrike" baseline="-25000">
                    <a:solidFill>
                      <a:srgbClr val="000000"/>
                    </a:solidFill>
                    <a:latin typeface="Times New Roman"/>
                    <a:cs typeface="Times New Roman"/>
                  </a:rPr>
                  <a:t>d</a:t>
                </a:r>
                <a:r>
                  <a:rPr lang="ru-RU" sz="1400" b="0" i="1" u="none" strike="noStrike" baseline="0">
                    <a:solidFill>
                      <a:srgbClr val="000000"/>
                    </a:solidFill>
                    <a:latin typeface="Times New Roman"/>
                    <a:cs typeface="Times New Roman"/>
                  </a:rPr>
                  <a:t>, </a:t>
                </a:r>
                <a:r>
                  <a:rPr lang="en-US" sz="1400" b="0" i="0" u="none" strike="noStrike" baseline="0">
                    <a:solidFill>
                      <a:srgbClr val="000000"/>
                    </a:solidFill>
                    <a:latin typeface="Times New Roman"/>
                    <a:cs typeface="Times New Roman"/>
                  </a:rPr>
                  <a:t>kJmol</a:t>
                </a:r>
                <a:r>
                  <a:rPr lang="ru-RU" sz="1400" b="0" i="0" u="none" strike="noStrike" baseline="0">
                    <a:solidFill>
                      <a:srgbClr val="000000"/>
                    </a:solidFill>
                    <a:latin typeface="Times New Roman"/>
                    <a:cs typeface="Times New Roman"/>
                  </a:rPr>
                  <a:t>*К</a:t>
                </a:r>
              </a:p>
            </c:rich>
          </c:tx>
          <c:layout>
            <c:manualLayout>
              <c:xMode val="edge"/>
              <c:yMode val="edge"/>
              <c:x val="1.8614270941054809E-2"/>
              <c:y val="0.33559322033898303"/>
            </c:manualLayout>
          </c:layout>
          <c:overlay val="0"/>
          <c:spPr>
            <a:noFill/>
            <a:ln w="25400">
              <a:noFill/>
            </a:ln>
          </c:spPr>
        </c:title>
        <c:numFmt formatCode="General" sourceLinked="0"/>
        <c:majorTickMark val="out"/>
        <c:minorTickMark val="out"/>
        <c:tickLblPos val="nextTo"/>
        <c:spPr>
          <a:ln w="3175">
            <a:solidFill>
              <a:srgbClr val="000000"/>
            </a:solidFill>
            <a:prstDash val="solid"/>
          </a:ln>
        </c:spPr>
        <c:txPr>
          <a:bodyPr rot="0" vert="horz"/>
          <a:lstStyle/>
          <a:p>
            <a:pPr>
              <a:defRPr sz="1400" b="0" i="0" u="none" strike="noStrike" baseline="0">
                <a:solidFill>
                  <a:srgbClr val="000000"/>
                </a:solidFill>
                <a:latin typeface="Times New Roman"/>
                <a:ea typeface="Times New Roman"/>
                <a:cs typeface="Times New Roman"/>
              </a:defRPr>
            </a:pPr>
            <a:endParaRPr lang="en-US"/>
          </a:p>
        </c:txPr>
        <c:crossAx val="568916392"/>
        <c:crosses val="autoZero"/>
        <c:crossBetween val="midCat"/>
      </c:valAx>
      <c:spPr>
        <a:noFill/>
        <a:ln w="25400">
          <a:noFill/>
        </a:ln>
      </c:spPr>
    </c:plotArea>
    <c:plotVisOnly val="1"/>
    <c:dispBlanksAs val="gap"/>
    <c:showDLblsOverMax val="0"/>
  </c:chart>
  <c:spPr>
    <a:noFill/>
    <a:ln w="9525">
      <a:noFill/>
    </a:ln>
  </c:spPr>
  <c:txPr>
    <a:bodyPr/>
    <a:lstStyle/>
    <a:p>
      <a:pPr>
        <a:defRPr sz="1000" b="0" i="0" u="none" strike="noStrike" baseline="0">
          <a:solidFill>
            <a:srgbClr val="000000"/>
          </a:solidFill>
          <a:latin typeface="Arial Cyr"/>
          <a:ea typeface="Arial Cyr"/>
          <a:cs typeface="Arial Cy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19396679742016"/>
          <c:y val="2.7118644067796606E-2"/>
          <c:w val="0.84703649144903936"/>
          <c:h val="0.7858226706036745"/>
        </c:manualLayout>
      </c:layout>
      <c:scatterChart>
        <c:scatterStyle val="smoothMarker"/>
        <c:varyColors val="0"/>
        <c:ser>
          <c:idx val="1"/>
          <c:order val="0"/>
          <c:tx>
            <c:v>308a NaCaA+H2O</c:v>
          </c:tx>
          <c:spPr>
            <a:ln w="31750">
              <a:solidFill>
                <a:srgbClr val="FF0000"/>
              </a:solidFill>
            </a:ln>
          </c:spPr>
          <c:marker>
            <c:symbol val="none"/>
          </c:marker>
          <c:xVal>
            <c:numRef>
              <c:f>Таблица!$B$5:$B$44</c:f>
              <c:numCache>
                <c:formatCode>0.000</c:formatCode>
                <c:ptCount val="40"/>
                <c:pt idx="0">
                  <c:v>8.0000000000000002E-3</c:v>
                </c:pt>
                <c:pt idx="1">
                  <c:v>1.9100000000000002E-2</c:v>
                </c:pt>
                <c:pt idx="2">
                  <c:v>2.5700000000000001E-2</c:v>
                </c:pt>
                <c:pt idx="3">
                  <c:v>4.1700000000000001E-2</c:v>
                </c:pt>
                <c:pt idx="4">
                  <c:v>5.9500000000000004E-2</c:v>
                </c:pt>
                <c:pt idx="5">
                  <c:v>0.10590000000000001</c:v>
                </c:pt>
                <c:pt idx="6">
                  <c:v>0.1492</c:v>
                </c:pt>
                <c:pt idx="7">
                  <c:v>0.1893</c:v>
                </c:pt>
                <c:pt idx="8">
                  <c:v>0.2278</c:v>
                </c:pt>
                <c:pt idx="9">
                  <c:v>0.28320000000000001</c:v>
                </c:pt>
                <c:pt idx="10">
                  <c:v>0.32569999999999999</c:v>
                </c:pt>
                <c:pt idx="11">
                  <c:v>0.36899999999999999</c:v>
                </c:pt>
                <c:pt idx="12">
                  <c:v>0.40590000000000004</c:v>
                </c:pt>
                <c:pt idx="13">
                  <c:v>0.44359999999999999</c:v>
                </c:pt>
                <c:pt idx="14">
                  <c:v>0.4829</c:v>
                </c:pt>
                <c:pt idx="15">
                  <c:v>0.5262</c:v>
                </c:pt>
                <c:pt idx="16">
                  <c:v>0.56710000000000005</c:v>
                </c:pt>
                <c:pt idx="17">
                  <c:v>0.60880000000000001</c:v>
                </c:pt>
                <c:pt idx="18">
                  <c:v>0.66600000000000004</c:v>
                </c:pt>
                <c:pt idx="19">
                  <c:v>0.72599999999999998</c:v>
                </c:pt>
                <c:pt idx="20">
                  <c:v>0.78</c:v>
                </c:pt>
                <c:pt idx="21">
                  <c:v>0.82</c:v>
                </c:pt>
                <c:pt idx="22">
                  <c:v>0.86299999999999999</c:v>
                </c:pt>
                <c:pt idx="23">
                  <c:v>0.90600000000000003</c:v>
                </c:pt>
                <c:pt idx="24">
                  <c:v>0.95130000000000003</c:v>
                </c:pt>
                <c:pt idx="25">
                  <c:v>0.98299999999999998</c:v>
                </c:pt>
                <c:pt idx="26">
                  <c:v>1.05</c:v>
                </c:pt>
                <c:pt idx="27">
                  <c:v>1.1200000000000001</c:v>
                </c:pt>
                <c:pt idx="28">
                  <c:v>1.19</c:v>
                </c:pt>
              </c:numCache>
            </c:numRef>
          </c:xVal>
          <c:yVal>
            <c:numRef>
              <c:f>Таблица!$V$5:$V$44</c:f>
              <c:numCache>
                <c:formatCode>0.00</c:formatCode>
                <c:ptCount val="40"/>
                <c:pt idx="0">
                  <c:v>3.44</c:v>
                </c:pt>
                <c:pt idx="1">
                  <c:v>3.2</c:v>
                </c:pt>
                <c:pt idx="2">
                  <c:v>3.1</c:v>
                </c:pt>
                <c:pt idx="3">
                  <c:v>3</c:v>
                </c:pt>
                <c:pt idx="4">
                  <c:v>2.85</c:v>
                </c:pt>
                <c:pt idx="5">
                  <c:v>2.9</c:v>
                </c:pt>
                <c:pt idx="6">
                  <c:v>2.7</c:v>
                </c:pt>
                <c:pt idx="7">
                  <c:v>2.6</c:v>
                </c:pt>
                <c:pt idx="8">
                  <c:v>2.41</c:v>
                </c:pt>
                <c:pt idx="9">
                  <c:v>2.57</c:v>
                </c:pt>
                <c:pt idx="10">
                  <c:v>2.2999999999999998</c:v>
                </c:pt>
                <c:pt idx="11">
                  <c:v>2.4</c:v>
                </c:pt>
                <c:pt idx="12">
                  <c:v>2.1</c:v>
                </c:pt>
                <c:pt idx="13">
                  <c:v>2</c:v>
                </c:pt>
                <c:pt idx="14">
                  <c:v>1.99</c:v>
                </c:pt>
                <c:pt idx="15">
                  <c:v>1.89</c:v>
                </c:pt>
                <c:pt idx="16">
                  <c:v>1.77</c:v>
                </c:pt>
                <c:pt idx="17">
                  <c:v>1.6</c:v>
                </c:pt>
                <c:pt idx="18">
                  <c:v>1.45</c:v>
                </c:pt>
                <c:pt idx="19">
                  <c:v>1.2</c:v>
                </c:pt>
                <c:pt idx="20">
                  <c:v>1.1200000000000001</c:v>
                </c:pt>
                <c:pt idx="21">
                  <c:v>1.1000000000000001</c:v>
                </c:pt>
                <c:pt idx="22">
                  <c:v>0.9</c:v>
                </c:pt>
                <c:pt idx="23">
                  <c:v>0.88</c:v>
                </c:pt>
                <c:pt idx="24">
                  <c:v>0.87</c:v>
                </c:pt>
                <c:pt idx="25">
                  <c:v>0.4</c:v>
                </c:pt>
              </c:numCache>
            </c:numRef>
          </c:yVal>
          <c:smooth val="1"/>
          <c:extLst>
            <c:ext xmlns:c16="http://schemas.microsoft.com/office/drawing/2014/chart" uri="{C3380CC4-5D6E-409C-BE32-E72D297353CC}">
              <c16:uniqueId val="{00000000-C9E7-42F5-8D92-0179CC7042A0}"/>
            </c:ext>
          </c:extLst>
        </c:ser>
        <c:dLbls>
          <c:showLegendKey val="0"/>
          <c:showVal val="0"/>
          <c:showCatName val="0"/>
          <c:showSerName val="0"/>
          <c:showPercent val="0"/>
          <c:showBubbleSize val="0"/>
        </c:dLbls>
        <c:axId val="568917176"/>
        <c:axId val="568914432"/>
      </c:scatterChart>
      <c:valAx>
        <c:axId val="568917176"/>
        <c:scaling>
          <c:orientation val="minMax"/>
          <c:max val="1"/>
          <c:min val="0"/>
        </c:scaling>
        <c:delete val="0"/>
        <c:axPos val="b"/>
        <c:title>
          <c:tx>
            <c:rich>
              <a:bodyPr/>
              <a:lstStyle/>
              <a:p>
                <a:pPr>
                  <a:defRPr sz="1400" b="0" i="0" u="none" strike="noStrike" baseline="0">
                    <a:solidFill>
                      <a:srgbClr val="000000"/>
                    </a:solidFill>
                    <a:latin typeface="Times New Roman"/>
                    <a:ea typeface="Times New Roman"/>
                    <a:cs typeface="Times New Roman"/>
                  </a:defRPr>
                </a:pPr>
                <a:r>
                  <a:rPr lang="ru-RU" sz="1400" b="0" i="1" u="none" strike="noStrike" baseline="0">
                    <a:solidFill>
                      <a:srgbClr val="000000"/>
                    </a:solidFill>
                    <a:latin typeface="Times New Roman"/>
                    <a:cs typeface="Times New Roman"/>
                  </a:rPr>
                  <a:t>а</a:t>
                </a:r>
                <a:r>
                  <a:rPr lang="ru-RU" sz="1400" b="0" i="0" u="none" strike="noStrike" baseline="0">
                    <a:solidFill>
                      <a:srgbClr val="000000"/>
                    </a:solidFill>
                    <a:latin typeface="Times New Roman"/>
                    <a:cs typeface="Times New Roman"/>
                  </a:rPr>
                  <a:t>, </a:t>
                </a:r>
                <a:r>
                  <a:rPr lang="en-US" sz="1400" b="0" i="0" u="none" strike="noStrike" baseline="0">
                    <a:solidFill>
                      <a:srgbClr val="000000"/>
                    </a:solidFill>
                    <a:latin typeface="Times New Roman"/>
                    <a:cs typeface="Times New Roman"/>
                  </a:rPr>
                  <a:t>mmol</a:t>
                </a:r>
                <a:r>
                  <a:rPr lang="ru-RU" sz="1400" b="0" i="0" u="none" strike="noStrike" baseline="0">
                    <a:solidFill>
                      <a:srgbClr val="000000"/>
                    </a:solidFill>
                    <a:latin typeface="Times New Roman"/>
                    <a:cs typeface="Times New Roman"/>
                  </a:rPr>
                  <a:t>/</a:t>
                </a:r>
                <a:r>
                  <a:rPr lang="en-US" sz="1400" b="0" i="0" u="none" strike="noStrike" baseline="0">
                    <a:solidFill>
                      <a:srgbClr val="000000"/>
                    </a:solidFill>
                    <a:latin typeface="Times New Roman"/>
                    <a:cs typeface="Times New Roman"/>
                  </a:rPr>
                  <a:t>g</a:t>
                </a:r>
                <a:endParaRPr lang="ru-RU" sz="1400" b="0" i="0" u="none" strike="noStrike" baseline="0">
                  <a:solidFill>
                    <a:srgbClr val="000000"/>
                  </a:solidFill>
                  <a:latin typeface="Times New Roman"/>
                  <a:cs typeface="Times New Roman"/>
                </a:endParaRPr>
              </a:p>
            </c:rich>
          </c:tx>
          <c:layout>
            <c:manualLayout>
              <c:xMode val="edge"/>
              <c:yMode val="edge"/>
              <c:x val="0.46535677352637023"/>
              <c:y val="0.94745762711864412"/>
            </c:manualLayout>
          </c:layout>
          <c:overlay val="0"/>
          <c:spPr>
            <a:noFill/>
            <a:ln w="25400">
              <a:noFill/>
            </a:ln>
          </c:spPr>
        </c:title>
        <c:numFmt formatCode="General" sourceLinked="0"/>
        <c:majorTickMark val="out"/>
        <c:minorTickMark val="out"/>
        <c:tickLblPos val="nextTo"/>
        <c:spPr>
          <a:ln w="3175">
            <a:solidFill>
              <a:srgbClr val="000000"/>
            </a:solidFill>
            <a:prstDash val="solid"/>
          </a:ln>
        </c:spPr>
        <c:txPr>
          <a:bodyPr rot="0" vert="horz"/>
          <a:lstStyle/>
          <a:p>
            <a:pPr>
              <a:defRPr sz="1400" b="0" i="0" u="none" strike="noStrike" baseline="0">
                <a:solidFill>
                  <a:srgbClr val="000000"/>
                </a:solidFill>
                <a:latin typeface="Times New Roman"/>
                <a:ea typeface="Times New Roman"/>
                <a:cs typeface="Times New Roman"/>
              </a:defRPr>
            </a:pPr>
            <a:endParaRPr lang="en-US"/>
          </a:p>
        </c:txPr>
        <c:crossAx val="568914432"/>
        <c:crosses val="autoZero"/>
        <c:crossBetween val="midCat"/>
      </c:valAx>
      <c:valAx>
        <c:axId val="568914432"/>
        <c:scaling>
          <c:orientation val="minMax"/>
          <c:max val="4"/>
          <c:min val="0"/>
        </c:scaling>
        <c:delete val="0"/>
        <c:axPos val="l"/>
        <c:title>
          <c:tx>
            <c:rich>
              <a:bodyPr/>
              <a:lstStyle/>
              <a:p>
                <a:pPr>
                  <a:defRPr sz="1400" b="0" i="1" u="none" strike="noStrike" baseline="0">
                    <a:solidFill>
                      <a:srgbClr val="000000"/>
                    </a:solidFill>
                    <a:latin typeface="Symbol"/>
                    <a:ea typeface="Symbol"/>
                    <a:cs typeface="Symbol"/>
                  </a:defRPr>
                </a:pPr>
                <a:r>
                  <a:rPr lang="ru-RU" sz="1400" b="0" i="1" u="none" strike="noStrike" baseline="0">
                    <a:solidFill>
                      <a:srgbClr val="000000"/>
                    </a:solidFill>
                  </a:rPr>
                  <a:t>t</a:t>
                </a:r>
                <a:r>
                  <a:rPr lang="ru-RU" sz="1400" b="0" i="0" u="none" strike="noStrike" baseline="0">
                    <a:solidFill>
                      <a:srgbClr val="000000"/>
                    </a:solidFill>
                    <a:latin typeface="Times New Roman"/>
                    <a:cs typeface="Times New Roman"/>
                  </a:rPr>
                  <a:t>, </a:t>
                </a:r>
                <a:r>
                  <a:rPr lang="en-US" sz="1400" b="0" i="0" u="none" strike="noStrike" baseline="0">
                    <a:solidFill>
                      <a:srgbClr val="000000"/>
                    </a:solidFill>
                    <a:latin typeface="Times New Roman"/>
                    <a:cs typeface="Times New Roman"/>
                  </a:rPr>
                  <a:t>hour</a:t>
                </a:r>
                <a:endParaRPr lang="ru-RU" sz="1400" b="0" i="0" u="none" strike="noStrike" baseline="0">
                  <a:solidFill>
                    <a:srgbClr val="000000"/>
                  </a:solidFill>
                  <a:latin typeface="Times New Roman"/>
                  <a:cs typeface="Times New Roman"/>
                </a:endParaRPr>
              </a:p>
            </c:rich>
          </c:tx>
          <c:layout>
            <c:manualLayout>
              <c:xMode val="edge"/>
              <c:yMode val="edge"/>
              <c:x val="6.2047569803516025E-3"/>
              <c:y val="0.42542372881355933"/>
            </c:manualLayout>
          </c:layout>
          <c:overlay val="0"/>
          <c:spPr>
            <a:noFill/>
            <a:ln w="25400">
              <a:noFill/>
            </a:ln>
          </c:spPr>
        </c:title>
        <c:numFmt formatCode="General" sourceLinked="0"/>
        <c:majorTickMark val="out"/>
        <c:minorTickMark val="out"/>
        <c:tickLblPos val="nextTo"/>
        <c:spPr>
          <a:ln w="3175">
            <a:solidFill>
              <a:srgbClr val="000000"/>
            </a:solidFill>
            <a:prstDash val="solid"/>
          </a:ln>
        </c:spPr>
        <c:txPr>
          <a:bodyPr rot="0" vert="horz"/>
          <a:lstStyle/>
          <a:p>
            <a:pPr>
              <a:defRPr sz="1400" b="0" i="0" u="none" strike="noStrike" baseline="0">
                <a:solidFill>
                  <a:srgbClr val="000000"/>
                </a:solidFill>
                <a:latin typeface="Times New Roman"/>
                <a:ea typeface="Times New Roman"/>
                <a:cs typeface="Times New Roman"/>
              </a:defRPr>
            </a:pPr>
            <a:endParaRPr lang="en-US"/>
          </a:p>
        </c:txPr>
        <c:crossAx val="568917176"/>
        <c:crosses val="autoZero"/>
        <c:crossBetween val="midCat"/>
        <c:majorUnit val="1"/>
        <c:minorUnit val="0.5"/>
      </c:valAx>
      <c:spPr>
        <a:noFill/>
        <a:ln w="25400">
          <a:noFill/>
        </a:ln>
      </c:spPr>
    </c:plotArea>
    <c:plotVisOnly val="1"/>
    <c:dispBlanksAs val="gap"/>
    <c:showDLblsOverMax val="0"/>
  </c:chart>
  <c:spPr>
    <a:noFill/>
    <a:ln w="9525">
      <a:noFill/>
    </a:ln>
  </c:spPr>
  <c:txPr>
    <a:bodyPr/>
    <a:lstStyle/>
    <a:p>
      <a:pPr>
        <a:defRPr sz="1400" b="0" i="0" u="none" strike="noStrike" baseline="0">
          <a:solidFill>
            <a:srgbClr val="000000"/>
          </a:solidFill>
          <a:latin typeface="Times New Roman"/>
          <a:ea typeface="Times New Roman"/>
          <a:cs typeface="Times New Roman"/>
        </a:defRPr>
      </a:pPr>
      <a:endParaRPr lang="en-US"/>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0.36611</cdr:x>
      <cdr:y>0.77286</cdr:y>
    </cdr:from>
    <cdr:to>
      <cdr:x>0.51674</cdr:x>
      <cdr:y>0.87736</cdr:y>
    </cdr:to>
    <cdr:sp macro="" textlink="">
      <cdr:nvSpPr>
        <cdr:cNvPr id="2" name="TextBox 1">
          <a:extLst xmlns:a="http://schemas.openxmlformats.org/drawingml/2006/main">
            <a:ext uri="{FF2B5EF4-FFF2-40B4-BE49-F238E27FC236}">
              <a16:creationId xmlns:a16="http://schemas.microsoft.com/office/drawing/2014/main" id="{68AD9592-B5A9-42E7-B432-A6D31614D370}"/>
            </a:ext>
          </a:extLst>
        </cdr:cNvPr>
        <cdr:cNvSpPr txBox="1"/>
      </cdr:nvSpPr>
      <cdr:spPr>
        <a:xfrm xmlns:a="http://schemas.openxmlformats.org/drawingml/2006/main">
          <a:off x="2222500" y="676275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0.84937</cdr:x>
      <cdr:y>0.08999</cdr:y>
    </cdr:from>
    <cdr:to>
      <cdr:x>1</cdr:x>
      <cdr:y>0.19448</cdr:y>
    </cdr:to>
    <cdr:sp macro="" textlink="">
      <cdr:nvSpPr>
        <cdr:cNvPr id="4" name="TextBox 3">
          <a:extLst xmlns:a="http://schemas.openxmlformats.org/drawingml/2006/main">
            <a:ext uri="{FF2B5EF4-FFF2-40B4-BE49-F238E27FC236}">
              <a16:creationId xmlns:a16="http://schemas.microsoft.com/office/drawing/2014/main" id="{83BBAC25-9BB3-471A-834D-F7616FFEA0C4}"/>
            </a:ext>
          </a:extLst>
        </cdr:cNvPr>
        <cdr:cNvSpPr txBox="1"/>
      </cdr:nvSpPr>
      <cdr:spPr>
        <a:xfrm xmlns:a="http://schemas.openxmlformats.org/drawingml/2006/main">
          <a:off x="5689600" y="78740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0.16632</cdr:x>
      <cdr:y>0.83599</cdr:y>
    </cdr:from>
    <cdr:to>
      <cdr:x>0.31695</cdr:x>
      <cdr:y>0.94049</cdr:y>
    </cdr:to>
    <cdr:sp macro="" textlink="">
      <cdr:nvSpPr>
        <cdr:cNvPr id="6" name="TextBox 5">
          <a:extLst xmlns:a="http://schemas.openxmlformats.org/drawingml/2006/main">
            <a:ext uri="{FF2B5EF4-FFF2-40B4-BE49-F238E27FC236}">
              <a16:creationId xmlns:a16="http://schemas.microsoft.com/office/drawing/2014/main" id="{BEDE60CD-A18B-4043-BC01-953859E2E549}"/>
            </a:ext>
          </a:extLst>
        </cdr:cNvPr>
        <cdr:cNvSpPr txBox="1"/>
      </cdr:nvSpPr>
      <cdr:spPr>
        <a:xfrm xmlns:a="http://schemas.openxmlformats.org/drawingml/2006/main">
          <a:off x="1009650" y="731520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0.89483</cdr:x>
      <cdr:y>0.27239</cdr:y>
    </cdr:from>
    <cdr:to>
      <cdr:x>1</cdr:x>
      <cdr:y>0.5895</cdr:y>
    </cdr:to>
    <cdr:sp macro="" textlink="">
      <cdr:nvSpPr>
        <cdr:cNvPr id="9" name="Надпись 8"/>
        <cdr:cNvSpPr txBox="1"/>
      </cdr:nvSpPr>
      <cdr:spPr>
        <a:xfrm xmlns:a="http://schemas.openxmlformats.org/drawingml/2006/main" rot="16200000">
          <a:off x="2485875" y="1079301"/>
          <a:ext cx="914400" cy="32668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a:latin typeface="Times New Roman" panose="02020603050405020304" pitchFamily="18" charset="0"/>
              <a:cs typeface="Times New Roman" panose="02020603050405020304" pitchFamily="18" charset="0"/>
            </a:rPr>
            <a:t>a, mmol/g</a:t>
          </a:r>
        </a:p>
      </cdr:txBody>
    </cdr:sp>
  </cdr:relSizeAnchor>
  <cdr:relSizeAnchor xmlns:cdr="http://schemas.openxmlformats.org/drawingml/2006/chartDrawing">
    <cdr:from>
      <cdr:x>0.34922</cdr:x>
      <cdr:y>0.88617</cdr:y>
    </cdr:from>
    <cdr:to>
      <cdr:x>0.65877</cdr:x>
      <cdr:y>0.97357</cdr:y>
    </cdr:to>
    <cdr:sp macro="" textlink="">
      <cdr:nvSpPr>
        <cdr:cNvPr id="10" name="Надпись 9"/>
        <cdr:cNvSpPr txBox="1"/>
      </cdr:nvSpPr>
      <cdr:spPr>
        <a:xfrm xmlns:a="http://schemas.openxmlformats.org/drawingml/2006/main">
          <a:off x="1084829" y="2555289"/>
          <a:ext cx="961574" cy="252046"/>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a:latin typeface="Times New Roman" panose="02020603050405020304" pitchFamily="18" charset="0"/>
              <a:cs typeface="Times New Roman" panose="02020603050405020304" pitchFamily="18" charset="0"/>
            </a:rPr>
            <a:t>ln(p/p</a:t>
          </a:r>
          <a:r>
            <a:rPr lang="en-US" sz="1100">
              <a:latin typeface="Matura MT Script Capitals" panose="03020802060602070202" pitchFamily="66" charset="0"/>
              <a:cs typeface="Times New Roman" panose="02020603050405020304" pitchFamily="18" charset="0"/>
            </a:rPr>
            <a:t>°</a:t>
          </a:r>
          <a:r>
            <a:rPr lang="en-US" sz="1100">
              <a:latin typeface="Times New Roman" panose="02020603050405020304" pitchFamily="18" charset="0"/>
              <a:cs typeface="Times New Roman" panose="02020603050405020304" pitchFamily="18" charset="0"/>
            </a:rPr>
            <a:t>)</a:t>
          </a:r>
          <a:endParaRPr lang="en-US" sz="1100" baseline="0">
            <a:latin typeface="Times New Roman" panose="02020603050405020304" pitchFamily="18" charset="0"/>
            <a:cs typeface="Times New Roman" panose="02020603050405020304"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0.16143</cdr:x>
      <cdr:y>0.48717</cdr:y>
    </cdr:from>
    <cdr:to>
      <cdr:x>0.27588</cdr:x>
      <cdr:y>0.5979</cdr:y>
    </cdr:to>
    <cdr:sp macro="" textlink="">
      <cdr:nvSpPr>
        <cdr:cNvPr id="2" name="Text Box 1"/>
        <cdr:cNvSpPr txBox="1">
          <a:spLocks xmlns:a="http://schemas.openxmlformats.org/drawingml/2006/main" noChangeArrowheads="1"/>
        </cdr:cNvSpPr>
      </cdr:nvSpPr>
      <cdr:spPr bwMode="auto">
        <a:xfrm xmlns:a="http://schemas.openxmlformats.org/drawingml/2006/main">
          <a:off x="768282" y="1284737"/>
          <a:ext cx="544704" cy="292017"/>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1">
            <a:defRPr sz="1000"/>
          </a:pPr>
          <a:r>
            <a:rPr lang="en-US" sz="1400" b="0" i="0" strike="noStrike">
              <a:solidFill>
                <a:srgbClr val="000000"/>
              </a:solidFill>
              <a:latin typeface="Symbol"/>
            </a:rPr>
            <a:t>D</a:t>
          </a:r>
          <a:r>
            <a:rPr lang="en-US" sz="1400" b="0" i="1" strike="noStrike">
              <a:solidFill>
                <a:srgbClr val="000000"/>
              </a:solidFill>
              <a:latin typeface="Symbol"/>
            </a:rPr>
            <a:t>H</a:t>
          </a:r>
          <a:r>
            <a:rPr lang="en-US" sz="1400" b="0" i="0" strike="noStrike" baseline="-25000">
              <a:solidFill>
                <a:srgbClr val="000000"/>
              </a:solidFill>
              <a:latin typeface="Times New Roman"/>
              <a:cs typeface="Times New Roman"/>
            </a:rPr>
            <a:t>v</a:t>
          </a:r>
          <a:r>
            <a:rPr lang="en-US" sz="1000" b="0" i="1" strike="noStrike">
              <a:solidFill>
                <a:srgbClr val="000000"/>
              </a:solidFill>
              <a:latin typeface="Arial Cyr"/>
            </a:rPr>
            <a:t> </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B713436-B6A2-4B5F-83E2-F51E54367688}">
  <we:reference id="wa200004461" version="5.0.0.0" store="ru-RU" storeType="OMEX"/>
  <we:alternateReferences>
    <we:reference id="wa200004461" version="5.0.0.0" store="wa200004461"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16AF5B-7F28-4ADA-A826-DCB072FFB3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852</TotalTime>
  <Pages>17</Pages>
  <Words>6747</Words>
  <Characters>38463</Characters>
  <Application>Microsoft Office Word</Application>
  <DocSecurity>0</DocSecurity>
  <Lines>320</Lines>
  <Paragraphs>90</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45120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Physics</dc:creator>
  <cp:keywords/>
  <dc:description/>
  <cp:lastModifiedBy>Windows User</cp:lastModifiedBy>
  <cp:revision>213</cp:revision>
  <dcterms:created xsi:type="dcterms:W3CDTF">2026-04-09T05:25:00Z</dcterms:created>
  <dcterms:modified xsi:type="dcterms:W3CDTF">2026-04-28T08:57:00Z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cddec06a-d7a7-4a63-adb3-508b7a3ed955</vt:lpwstr>
  </property>
</Properties>
</file>